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4B562">
      <w:pPr>
        <w:widowControl w:val="0"/>
        <w:spacing w:before="468" w:beforeLines="150" w:after="468" w:afterLines="150"/>
        <w:jc w:val="center"/>
        <w:rPr>
          <w:rFonts w:hint="eastAsia" w:ascii="方正小标宋简体" w:hAnsi="方正小标宋简体" w:eastAsia="方正小标宋简体" w:cs="方正小标宋简体"/>
          <w:bCs/>
          <w:kern w:val="2"/>
          <w:sz w:val="44"/>
          <w:szCs w:val="44"/>
        </w:rPr>
      </w:pPr>
      <w:r>
        <w:rPr>
          <w:rFonts w:hint="eastAsia" w:ascii="方正小标宋简体" w:hAnsi="方正小标宋简体" w:eastAsia="方正小标宋简体" w:cs="方正小标宋简体"/>
          <w:bCs/>
          <w:kern w:val="2"/>
          <w:sz w:val="44"/>
          <w:szCs w:val="44"/>
        </w:rPr>
        <w:t>济南鲍德冶金石灰石有限公司</w:t>
      </w:r>
    </w:p>
    <w:p w14:paraId="4CF01707">
      <w:pPr>
        <w:widowControl w:val="0"/>
        <w:spacing w:before="468" w:beforeLines="150" w:after="468" w:afterLines="150"/>
        <w:jc w:val="center"/>
        <w:rPr>
          <w:rFonts w:hint="eastAsia" w:ascii="方正小标宋简体" w:hAnsi="方正小标宋简体" w:eastAsia="方正小标宋简体" w:cs="方正小标宋简体"/>
          <w:bCs/>
          <w:kern w:val="2"/>
          <w:sz w:val="44"/>
          <w:szCs w:val="44"/>
        </w:rPr>
      </w:pPr>
      <w:r>
        <w:rPr>
          <w:rFonts w:hint="eastAsia" w:ascii="方正小标宋简体" w:hAnsi="方正小标宋简体" w:eastAsia="方正小标宋简体" w:cs="方正小标宋简体"/>
          <w:bCs/>
          <w:kern w:val="2"/>
          <w:sz w:val="44"/>
          <w:szCs w:val="44"/>
          <w:lang w:val="en-US" w:eastAsia="zh-CN"/>
        </w:rPr>
        <w:t>快速堆积门改造</w:t>
      </w:r>
      <w:r>
        <w:rPr>
          <w:rFonts w:hint="eastAsia" w:ascii="方正小标宋简体" w:hAnsi="方正小标宋简体" w:eastAsia="方正小标宋简体" w:cs="方正小标宋简体"/>
          <w:bCs/>
          <w:kern w:val="2"/>
          <w:sz w:val="44"/>
          <w:szCs w:val="44"/>
        </w:rPr>
        <w:t>施工项目</w:t>
      </w:r>
    </w:p>
    <w:p w14:paraId="65CBCEC5">
      <w:pPr>
        <w:spacing w:line="300" w:lineRule="auto"/>
        <w:ind w:firstLine="3168" w:firstLineChars="800"/>
        <w:rPr>
          <w:rFonts w:hint="eastAsia" w:ascii="方正小标宋简体" w:hAnsi="方正小标宋简体" w:eastAsia="方正小标宋简体" w:cs="方正小标宋简体"/>
          <w:bCs/>
          <w:color w:val="000000"/>
          <w:w w:val="90"/>
          <w:sz w:val="44"/>
          <w:szCs w:val="44"/>
        </w:rPr>
      </w:pPr>
    </w:p>
    <w:p w14:paraId="76BED09C">
      <w:pPr>
        <w:widowControl w:val="0"/>
        <w:spacing w:before="468" w:beforeLines="150" w:after="468" w:afterLines="150"/>
        <w:jc w:val="center"/>
        <w:rPr>
          <w:rFonts w:hint="eastAsia" w:ascii="方正小标宋简体" w:hAnsi="方正小标宋简体" w:eastAsia="方正小标宋简体" w:cs="方正小标宋简体"/>
          <w:bCs/>
          <w:kern w:val="2"/>
          <w:sz w:val="44"/>
          <w:szCs w:val="44"/>
        </w:rPr>
      </w:pPr>
      <w:r>
        <w:rPr>
          <w:rFonts w:hint="eastAsia" w:ascii="方正小标宋简体" w:hAnsi="方正小标宋简体" w:eastAsia="方正小标宋简体" w:cs="方正小标宋简体"/>
          <w:bCs/>
          <w:kern w:val="2"/>
          <w:sz w:val="44"/>
          <w:szCs w:val="44"/>
        </w:rPr>
        <w:t>竞争性谈判文件</w:t>
      </w:r>
    </w:p>
    <w:p w14:paraId="58C4AEEE">
      <w:pPr>
        <w:spacing w:line="300" w:lineRule="auto"/>
        <w:jc w:val="center"/>
        <w:rPr>
          <w:rFonts w:hint="eastAsia" w:ascii="方正小标宋简体" w:hAnsi="方正小标宋简体" w:eastAsia="方正小标宋简体" w:cs="方正小标宋简体"/>
          <w:b/>
          <w:bCs/>
          <w:color w:val="000000"/>
          <w:w w:val="90"/>
          <w:sz w:val="44"/>
          <w:szCs w:val="44"/>
        </w:rPr>
      </w:pPr>
    </w:p>
    <w:p w14:paraId="213A4A15">
      <w:pPr>
        <w:spacing w:line="300" w:lineRule="auto"/>
        <w:ind w:firstLine="6401" w:firstLineChars="1449"/>
        <w:rPr>
          <w:rFonts w:hint="eastAsia" w:ascii="方正小标宋简体" w:hAnsi="方正小标宋简体" w:eastAsia="方正小标宋简体" w:cs="方正小标宋简体"/>
          <w:b/>
          <w:color w:val="000000"/>
          <w:sz w:val="44"/>
          <w:szCs w:val="44"/>
        </w:rPr>
      </w:pPr>
    </w:p>
    <w:p w14:paraId="17B60462">
      <w:pPr>
        <w:spacing w:line="300" w:lineRule="auto"/>
        <w:ind w:firstLine="5288" w:firstLineChars="1646"/>
        <w:rPr>
          <w:rFonts w:hint="eastAsia" w:ascii="方正小标宋简体" w:hAnsi="方正小标宋简体" w:eastAsia="方正小标宋简体" w:cs="方正小标宋简体"/>
          <w:b/>
          <w:color w:val="000000"/>
          <w:sz w:val="32"/>
          <w:szCs w:val="32"/>
          <w:u w:val="single"/>
        </w:rPr>
      </w:pPr>
    </w:p>
    <w:p w14:paraId="3B5991B5">
      <w:pPr>
        <w:tabs>
          <w:tab w:val="left" w:pos="1134"/>
          <w:tab w:val="left" w:pos="5481"/>
          <w:tab w:val="left" w:pos="5859"/>
        </w:tabs>
        <w:spacing w:line="300" w:lineRule="auto"/>
        <w:rPr>
          <w:rFonts w:hint="eastAsia" w:ascii="方正小标宋简体" w:hAnsi="方正小标宋简体" w:eastAsia="方正小标宋简体" w:cs="方正小标宋简体"/>
          <w:b/>
          <w:color w:val="000000"/>
          <w:sz w:val="28"/>
          <w:szCs w:val="28"/>
        </w:rPr>
      </w:pPr>
    </w:p>
    <w:p w14:paraId="108D714D">
      <w:pPr>
        <w:tabs>
          <w:tab w:val="left" w:pos="1134"/>
          <w:tab w:val="left" w:pos="5481"/>
          <w:tab w:val="left" w:pos="5859"/>
        </w:tabs>
        <w:spacing w:line="300" w:lineRule="auto"/>
        <w:rPr>
          <w:rFonts w:ascii="方正小标宋简体" w:hAnsi="方正小标宋简体" w:eastAsia="方正小标宋简体" w:cs="方正小标宋简体"/>
          <w:b/>
          <w:color w:val="000000"/>
          <w:sz w:val="28"/>
          <w:szCs w:val="28"/>
        </w:rPr>
      </w:pPr>
    </w:p>
    <w:p w14:paraId="0D405735">
      <w:pPr>
        <w:pStyle w:val="6"/>
        <w:ind w:left="480" w:firstLine="480"/>
        <w:rPr>
          <w:rFonts w:hint="eastAsia"/>
        </w:rPr>
      </w:pPr>
    </w:p>
    <w:p w14:paraId="32593F2A">
      <w:pPr>
        <w:spacing w:line="300" w:lineRule="auto"/>
        <w:ind w:firstLine="560" w:firstLineChars="200"/>
        <w:rPr>
          <w:rFonts w:hint="eastAsia" w:ascii="方正小标宋简体" w:hAnsi="方正小标宋简体" w:eastAsia="方正小标宋简体" w:cs="方正小标宋简体"/>
          <w:bCs/>
          <w:color w:val="000000"/>
          <w:sz w:val="32"/>
          <w:szCs w:val="32"/>
        </w:rPr>
      </w:pPr>
      <w:r>
        <w:rPr>
          <w:rFonts w:hint="eastAsia" w:ascii="方正小标宋简体" w:hAnsi="方正小标宋简体" w:eastAsia="方正小标宋简体" w:cs="方正小标宋简体"/>
          <w:bCs/>
          <w:color w:val="000000"/>
          <w:sz w:val="28"/>
          <w:szCs w:val="28"/>
        </w:rPr>
        <w:t xml:space="preserve">   </w:t>
      </w:r>
      <w:r>
        <w:rPr>
          <w:rFonts w:hint="eastAsia" w:ascii="方正小标宋简体" w:hAnsi="方正小标宋简体" w:eastAsia="方正小标宋简体" w:cs="方正小标宋简体"/>
          <w:bCs/>
          <w:color w:val="000000"/>
          <w:sz w:val="32"/>
          <w:szCs w:val="32"/>
        </w:rPr>
        <w:t xml:space="preserve">    招标人：济南鲍德冶金石灰石有限公司 </w:t>
      </w:r>
    </w:p>
    <w:p w14:paraId="18B45422">
      <w:pPr>
        <w:pStyle w:val="10"/>
        <w:spacing w:line="300" w:lineRule="auto"/>
        <w:jc w:val="center"/>
        <w:rPr>
          <w:rFonts w:hint="eastAsia" w:ascii="方正小标宋简体" w:hAnsi="方正小标宋简体" w:eastAsia="方正小标宋简体" w:cs="方正小标宋简体"/>
          <w:bCs/>
          <w:color w:val="000000"/>
          <w:sz w:val="32"/>
          <w:szCs w:val="32"/>
        </w:rPr>
      </w:pPr>
      <w:r>
        <w:rPr>
          <w:rFonts w:hint="eastAsia" w:ascii="方正小标宋简体" w:hAnsi="方正小标宋简体" w:eastAsia="方正小标宋简体" w:cs="方正小标宋简体"/>
          <w:bCs/>
          <w:color w:val="000000"/>
          <w:sz w:val="32"/>
          <w:szCs w:val="32"/>
        </w:rPr>
        <w:t>202</w:t>
      </w:r>
      <w:r>
        <w:rPr>
          <w:rFonts w:hint="eastAsia" w:ascii="方正小标宋简体" w:hAnsi="方正小标宋简体" w:eastAsia="方正小标宋简体" w:cs="方正小标宋简体"/>
          <w:bCs/>
          <w:color w:val="000000"/>
          <w:sz w:val="32"/>
          <w:szCs w:val="32"/>
          <w:lang w:val="en-US" w:eastAsia="zh-CN"/>
        </w:rPr>
        <w:t>6</w:t>
      </w:r>
      <w:r>
        <w:rPr>
          <w:rFonts w:hint="eastAsia" w:ascii="方正小标宋简体" w:hAnsi="方正小标宋简体" w:eastAsia="方正小标宋简体" w:cs="方正小标宋简体"/>
          <w:bCs/>
          <w:color w:val="000000"/>
          <w:sz w:val="32"/>
          <w:szCs w:val="32"/>
        </w:rPr>
        <w:t>年</w:t>
      </w:r>
      <w:r>
        <w:rPr>
          <w:rFonts w:hint="eastAsia" w:ascii="方正小标宋简体" w:hAnsi="方正小标宋简体" w:eastAsia="方正小标宋简体" w:cs="方正小标宋简体"/>
          <w:bCs/>
          <w:color w:val="000000"/>
          <w:sz w:val="32"/>
          <w:szCs w:val="32"/>
          <w:lang w:val="en-US" w:eastAsia="zh-CN"/>
        </w:rPr>
        <w:t>3</w:t>
      </w:r>
      <w:r>
        <w:rPr>
          <w:rFonts w:hint="eastAsia" w:ascii="方正小标宋简体" w:hAnsi="方正小标宋简体" w:eastAsia="方正小标宋简体" w:cs="方正小标宋简体"/>
          <w:bCs/>
          <w:color w:val="000000"/>
          <w:sz w:val="32"/>
          <w:szCs w:val="32"/>
        </w:rPr>
        <w:t>月</w:t>
      </w:r>
    </w:p>
    <w:p w14:paraId="2A1178CA">
      <w:pPr>
        <w:spacing w:line="300" w:lineRule="auto"/>
        <w:rPr>
          <w:rFonts w:hint="eastAsia" w:ascii="方正小标宋简体" w:hAnsi="方正小标宋简体" w:eastAsia="方正小标宋简体" w:cs="方正小标宋简体"/>
          <w:bCs/>
          <w:color w:val="000000"/>
          <w:sz w:val="32"/>
          <w:szCs w:val="32"/>
        </w:rPr>
        <w:sectPr>
          <w:headerReference r:id="rId3" w:type="default"/>
          <w:footerReference r:id="rId4" w:type="default"/>
          <w:pgSz w:w="11906" w:h="16838"/>
          <w:pgMar w:top="1440" w:right="1416" w:bottom="1440" w:left="1560" w:header="851" w:footer="992" w:gutter="0"/>
          <w:cols w:space="720" w:num="1"/>
          <w:docGrid w:type="lines" w:linePitch="312" w:charSpace="0"/>
        </w:sectPr>
      </w:pPr>
    </w:p>
    <w:p w14:paraId="21AC962B">
      <w:pPr>
        <w:spacing w:line="300" w:lineRule="auto"/>
        <w:jc w:val="center"/>
        <w:rPr>
          <w:rFonts w:hint="eastAsia" w:ascii="黑体" w:hAnsi="黑体" w:eastAsia="黑体"/>
          <w:b/>
          <w:color w:val="000000"/>
          <w:sz w:val="36"/>
          <w:szCs w:val="36"/>
        </w:rPr>
      </w:pPr>
      <w:r>
        <w:rPr>
          <w:rFonts w:hint="eastAsia" w:ascii="黑体" w:hAnsi="黑体" w:eastAsia="黑体"/>
          <w:b/>
          <w:color w:val="000000"/>
          <w:sz w:val="36"/>
          <w:szCs w:val="36"/>
        </w:rPr>
        <w:t>第一章</w:t>
      </w:r>
      <w:r>
        <w:rPr>
          <w:rFonts w:ascii="黑体" w:hAnsi="黑体" w:eastAsia="黑体"/>
          <w:b/>
          <w:color w:val="000000"/>
          <w:sz w:val="36"/>
          <w:szCs w:val="36"/>
        </w:rPr>
        <w:t xml:space="preserve"> </w:t>
      </w:r>
      <w:bookmarkStart w:id="0" w:name="_Toc446434284"/>
      <w:bookmarkEnd w:id="0"/>
      <w:r>
        <w:rPr>
          <w:rFonts w:hint="eastAsia" w:ascii="黑体" w:hAnsi="黑体" w:eastAsia="黑体"/>
          <w:b/>
          <w:color w:val="000000"/>
          <w:sz w:val="36"/>
          <w:szCs w:val="36"/>
        </w:rPr>
        <w:t xml:space="preserve">  竞争性谈判公告</w:t>
      </w:r>
    </w:p>
    <w:p w14:paraId="240ED2D6">
      <w:pPr>
        <w:widowControl w:val="0"/>
        <w:spacing w:line="360" w:lineRule="auto"/>
        <w:rPr>
          <w:rFonts w:hint="default" w:ascii="仿宋_GB2312" w:hAnsi="Times New Roman" w:eastAsia="仿宋_GB2312" w:cs="Times New Roman"/>
          <w:lang w:val="en-US" w:eastAsia="zh-CN"/>
        </w:rPr>
      </w:pPr>
      <w:r>
        <w:rPr>
          <w:rFonts w:ascii="仿宋_GB2312" w:hAnsi="Times New Roman" w:eastAsia="仿宋_GB2312" w:cs="Times New Roman"/>
        </w:rPr>
        <w:t>一、</w:t>
      </w:r>
      <w:r>
        <w:rPr>
          <w:rFonts w:hint="eastAsia" w:ascii="仿宋_GB2312" w:hAnsi="Times New Roman" w:eastAsia="仿宋_GB2312" w:cs="Times New Roman"/>
        </w:rPr>
        <w:t>招标</w:t>
      </w:r>
      <w:r>
        <w:rPr>
          <w:rFonts w:ascii="仿宋_GB2312" w:hAnsi="Times New Roman" w:eastAsia="仿宋_GB2312" w:cs="Times New Roman"/>
        </w:rPr>
        <w:t>编号：</w:t>
      </w:r>
      <w:r>
        <w:rPr>
          <w:rFonts w:hint="eastAsia" w:ascii="仿宋_GB2312" w:hAnsi="Times New Roman" w:eastAsia="仿宋_GB2312" w:cs="Times New Roman"/>
          <w:lang w:val="en-US" w:eastAsia="zh-CN"/>
        </w:rPr>
        <w:t>1253260325002</w:t>
      </w:r>
      <w:bookmarkStart w:id="1" w:name="_GoBack"/>
      <w:bookmarkEnd w:id="1"/>
    </w:p>
    <w:p w14:paraId="1D0042A1">
      <w:pPr>
        <w:widowControl w:val="0"/>
        <w:spacing w:line="360" w:lineRule="auto"/>
        <w:rPr>
          <w:rFonts w:hint="eastAsia" w:ascii="仿宋_GB2312" w:hAnsi="Times New Roman" w:eastAsia="仿宋_GB2312" w:cs="Times New Roman"/>
          <w:lang w:val="en-US" w:eastAsia="zh-CN"/>
        </w:rPr>
      </w:pPr>
      <w:r>
        <w:rPr>
          <w:rFonts w:ascii="仿宋_GB2312" w:hAnsi="Times New Roman" w:eastAsia="仿宋_GB2312" w:cs="Times New Roman"/>
        </w:rPr>
        <w:t>二、</w:t>
      </w:r>
      <w:r>
        <w:rPr>
          <w:rFonts w:hint="eastAsia" w:ascii="仿宋_GB2312" w:hAnsi="Times New Roman" w:eastAsia="仿宋_GB2312" w:cs="Times New Roman"/>
        </w:rPr>
        <w:t>招标项目</w:t>
      </w:r>
      <w:r>
        <w:rPr>
          <w:rFonts w:ascii="仿宋_GB2312" w:hAnsi="Times New Roman" w:eastAsia="仿宋_GB2312" w:cs="Times New Roman"/>
        </w:rPr>
        <w:t>名称：</w:t>
      </w:r>
      <w:r>
        <w:rPr>
          <w:rFonts w:hint="eastAsia" w:ascii="仿宋_GB2312" w:hAnsi="Times New Roman" w:eastAsia="仿宋_GB2312" w:cs="Times New Roman"/>
          <w:lang w:val="en-US" w:eastAsia="zh-CN"/>
        </w:rPr>
        <w:t>快速堆积门改造</w:t>
      </w:r>
      <w:r>
        <w:rPr>
          <w:rFonts w:hint="eastAsia" w:ascii="仿宋_GB2312" w:hAnsi="Times New Roman" w:eastAsia="仿宋_GB2312" w:cs="Times New Roman"/>
        </w:rPr>
        <w:t>施工项目</w:t>
      </w:r>
    </w:p>
    <w:p w14:paraId="163D0520">
      <w:pPr>
        <w:pStyle w:val="6"/>
        <w:spacing w:after="0" w:line="360" w:lineRule="auto"/>
        <w:ind w:left="0" w:leftChars="0" w:firstLine="0" w:firstLineChars="0"/>
        <w:jc w:val="left"/>
        <w:rPr>
          <w:rFonts w:ascii="仿宋_GB2312" w:eastAsia="仿宋_GB2312"/>
        </w:rPr>
      </w:pPr>
      <w:r>
        <w:rPr>
          <w:rFonts w:ascii="仿宋_GB2312" w:eastAsia="仿宋_GB2312"/>
        </w:rPr>
        <w:t>三、</w:t>
      </w:r>
      <w:r>
        <w:rPr>
          <w:rFonts w:hint="eastAsia" w:ascii="仿宋_GB2312" w:eastAsia="仿宋_GB2312"/>
        </w:rPr>
        <w:t>招标</w:t>
      </w:r>
      <w:r>
        <w:rPr>
          <w:rFonts w:ascii="仿宋_GB2312" w:eastAsia="仿宋_GB2312"/>
        </w:rPr>
        <w:t>内容</w:t>
      </w:r>
      <w:r>
        <w:rPr>
          <w:rFonts w:hint="eastAsia" w:ascii="仿宋_GB2312" w:eastAsia="仿宋_GB2312"/>
        </w:rPr>
        <w:t>和主要条款</w:t>
      </w:r>
    </w:p>
    <w:p w14:paraId="623E969A">
      <w:pPr>
        <w:widowControl w:val="0"/>
        <w:ind w:firstLine="420" w:firstLineChars="200"/>
        <w:jc w:val="both"/>
        <w:rPr>
          <w:rFonts w:ascii="仿宋_GB2312" w:hAnsi="Times New Roman" w:eastAsia="仿宋_GB2312" w:cs="Times New Roman"/>
        </w:rPr>
      </w:pPr>
      <w:r>
        <w:rPr>
          <w:rFonts w:hint="eastAsia" w:ascii="仿宋_GB2312" w:hAnsi="Times New Roman" w:eastAsia="仿宋_GB2312" w:cs="Times New Roman"/>
          <w:lang w:val="en-US" w:eastAsia="zh-CN"/>
        </w:rPr>
        <w:t>快速堆积门改造</w:t>
      </w:r>
      <w:r>
        <w:rPr>
          <w:rFonts w:hint="eastAsia" w:ascii="仿宋_GB2312" w:hAnsi="Times New Roman" w:eastAsia="仿宋_GB2312" w:cs="Times New Roman"/>
        </w:rPr>
        <w:t>施工，详见工程量清单：</w:t>
      </w:r>
    </w:p>
    <w:tbl>
      <w:tblPr>
        <w:tblStyle w:val="7"/>
        <w:tblW w:w="8800" w:type="dxa"/>
        <w:tblInd w:w="113" w:type="dxa"/>
        <w:tblLayout w:type="autofit"/>
        <w:tblCellMar>
          <w:top w:w="0" w:type="dxa"/>
          <w:left w:w="108" w:type="dxa"/>
          <w:bottom w:w="0" w:type="dxa"/>
          <w:right w:w="108" w:type="dxa"/>
        </w:tblCellMar>
      </w:tblPr>
      <w:tblGrid>
        <w:gridCol w:w="620"/>
        <w:gridCol w:w="2920"/>
        <w:gridCol w:w="620"/>
        <w:gridCol w:w="840"/>
        <w:gridCol w:w="3800"/>
      </w:tblGrid>
      <w:tr w14:paraId="639AC3C2">
        <w:tblPrEx>
          <w:tblCellMar>
            <w:top w:w="0" w:type="dxa"/>
            <w:left w:w="108" w:type="dxa"/>
            <w:bottom w:w="0" w:type="dxa"/>
            <w:right w:w="108" w:type="dxa"/>
          </w:tblCellMar>
        </w:tblPrEx>
        <w:trPr>
          <w:trHeight w:val="288" w:hRule="atLeast"/>
        </w:trPr>
        <w:tc>
          <w:tcPr>
            <w:tcW w:w="620" w:type="dxa"/>
            <w:tcBorders>
              <w:top w:val="single" w:color="auto" w:sz="4" w:space="0"/>
              <w:left w:val="single" w:color="auto" w:sz="4" w:space="0"/>
              <w:bottom w:val="single" w:color="auto" w:sz="4" w:space="0"/>
              <w:right w:val="single" w:color="auto" w:sz="4" w:space="0"/>
            </w:tcBorders>
            <w:noWrap/>
            <w:vAlign w:val="center"/>
          </w:tcPr>
          <w:p w14:paraId="75B8A245">
            <w:pPr>
              <w:jc w:val="center"/>
              <w:rPr>
                <w:rFonts w:hint="eastAsia" w:ascii="仿宋_GB2312" w:eastAsia="仿宋_GB2312"/>
                <w:color w:val="000000"/>
                <w:sz w:val="20"/>
                <w:szCs w:val="20"/>
              </w:rPr>
            </w:pPr>
            <w:r>
              <w:rPr>
                <w:rFonts w:hint="eastAsia" w:ascii="仿宋_GB2312" w:eastAsia="仿宋_GB2312"/>
                <w:color w:val="000000"/>
                <w:sz w:val="20"/>
                <w:szCs w:val="20"/>
              </w:rPr>
              <w:t>序号</w:t>
            </w:r>
          </w:p>
        </w:tc>
        <w:tc>
          <w:tcPr>
            <w:tcW w:w="2920" w:type="dxa"/>
            <w:tcBorders>
              <w:top w:val="single" w:color="auto" w:sz="4" w:space="0"/>
              <w:left w:val="nil"/>
              <w:bottom w:val="single" w:color="auto" w:sz="4" w:space="0"/>
              <w:right w:val="single" w:color="auto" w:sz="4" w:space="0"/>
            </w:tcBorders>
            <w:noWrap/>
            <w:vAlign w:val="center"/>
          </w:tcPr>
          <w:p w14:paraId="190DBFF7">
            <w:pPr>
              <w:jc w:val="center"/>
              <w:rPr>
                <w:rFonts w:hint="eastAsia" w:ascii="仿宋_GB2312" w:eastAsia="仿宋_GB2312"/>
                <w:color w:val="000000"/>
                <w:sz w:val="20"/>
                <w:szCs w:val="20"/>
              </w:rPr>
            </w:pPr>
            <w:r>
              <w:rPr>
                <w:rFonts w:hint="eastAsia" w:ascii="仿宋_GB2312" w:eastAsia="仿宋_GB2312"/>
                <w:color w:val="000000"/>
                <w:sz w:val="20"/>
                <w:szCs w:val="20"/>
              </w:rPr>
              <w:t>主要工作内容</w:t>
            </w:r>
          </w:p>
        </w:tc>
        <w:tc>
          <w:tcPr>
            <w:tcW w:w="620" w:type="dxa"/>
            <w:tcBorders>
              <w:top w:val="single" w:color="auto" w:sz="4" w:space="0"/>
              <w:left w:val="nil"/>
              <w:bottom w:val="single" w:color="auto" w:sz="4" w:space="0"/>
              <w:right w:val="single" w:color="auto" w:sz="4" w:space="0"/>
            </w:tcBorders>
            <w:noWrap/>
            <w:vAlign w:val="center"/>
          </w:tcPr>
          <w:p w14:paraId="74DC1531">
            <w:pPr>
              <w:jc w:val="center"/>
              <w:rPr>
                <w:rFonts w:hint="eastAsia" w:ascii="仿宋_GB2312" w:eastAsia="仿宋_GB2312"/>
                <w:color w:val="000000"/>
                <w:sz w:val="20"/>
                <w:szCs w:val="20"/>
              </w:rPr>
            </w:pPr>
            <w:r>
              <w:rPr>
                <w:rFonts w:hint="eastAsia" w:ascii="仿宋_GB2312" w:eastAsia="仿宋_GB2312"/>
                <w:color w:val="000000"/>
                <w:sz w:val="20"/>
                <w:szCs w:val="20"/>
              </w:rPr>
              <w:t>单位</w:t>
            </w:r>
          </w:p>
        </w:tc>
        <w:tc>
          <w:tcPr>
            <w:tcW w:w="840" w:type="dxa"/>
            <w:tcBorders>
              <w:top w:val="single" w:color="auto" w:sz="4" w:space="0"/>
              <w:left w:val="nil"/>
              <w:bottom w:val="single" w:color="auto" w:sz="4" w:space="0"/>
              <w:right w:val="single" w:color="auto" w:sz="4" w:space="0"/>
            </w:tcBorders>
            <w:noWrap/>
            <w:vAlign w:val="center"/>
          </w:tcPr>
          <w:p w14:paraId="2AB6E00A">
            <w:pPr>
              <w:jc w:val="center"/>
              <w:rPr>
                <w:rFonts w:hint="eastAsia" w:ascii="仿宋_GB2312" w:eastAsia="仿宋_GB2312"/>
                <w:color w:val="000000"/>
                <w:sz w:val="20"/>
                <w:szCs w:val="20"/>
              </w:rPr>
            </w:pPr>
            <w:r>
              <w:rPr>
                <w:rFonts w:hint="eastAsia" w:ascii="仿宋_GB2312" w:eastAsia="仿宋_GB2312"/>
                <w:color w:val="000000"/>
                <w:sz w:val="20"/>
                <w:szCs w:val="20"/>
              </w:rPr>
              <w:t>工程量</w:t>
            </w:r>
          </w:p>
        </w:tc>
        <w:tc>
          <w:tcPr>
            <w:tcW w:w="3800" w:type="dxa"/>
            <w:tcBorders>
              <w:top w:val="single" w:color="auto" w:sz="4" w:space="0"/>
              <w:left w:val="nil"/>
              <w:bottom w:val="single" w:color="auto" w:sz="4" w:space="0"/>
              <w:right w:val="single" w:color="auto" w:sz="4" w:space="0"/>
            </w:tcBorders>
            <w:noWrap/>
            <w:vAlign w:val="center"/>
          </w:tcPr>
          <w:p w14:paraId="3A076F85">
            <w:pPr>
              <w:jc w:val="center"/>
              <w:rPr>
                <w:rFonts w:hint="eastAsia" w:ascii="仿宋_GB2312" w:eastAsia="仿宋_GB2312"/>
                <w:color w:val="000000"/>
                <w:sz w:val="20"/>
                <w:szCs w:val="20"/>
              </w:rPr>
            </w:pPr>
            <w:r>
              <w:rPr>
                <w:rFonts w:hint="eastAsia" w:ascii="仿宋_GB2312" w:eastAsia="仿宋_GB2312"/>
                <w:color w:val="000000"/>
                <w:sz w:val="20"/>
                <w:szCs w:val="20"/>
              </w:rPr>
              <w:t>备注</w:t>
            </w:r>
          </w:p>
        </w:tc>
      </w:tr>
      <w:tr w14:paraId="0462323C">
        <w:tblPrEx>
          <w:tblCellMar>
            <w:top w:w="0" w:type="dxa"/>
            <w:left w:w="108" w:type="dxa"/>
            <w:bottom w:w="0" w:type="dxa"/>
            <w:right w:w="108" w:type="dxa"/>
          </w:tblCellMar>
        </w:tblPrEx>
        <w:trPr>
          <w:trHeight w:val="90" w:hRule="atLeast"/>
        </w:trPr>
        <w:tc>
          <w:tcPr>
            <w:tcW w:w="620" w:type="dxa"/>
            <w:tcBorders>
              <w:top w:val="nil"/>
              <w:left w:val="single" w:color="auto" w:sz="4" w:space="0"/>
              <w:bottom w:val="single" w:color="auto" w:sz="4" w:space="0"/>
              <w:right w:val="single" w:color="auto" w:sz="4" w:space="0"/>
            </w:tcBorders>
            <w:noWrap/>
            <w:vAlign w:val="center"/>
          </w:tcPr>
          <w:p w14:paraId="66FFB520">
            <w:pPr>
              <w:jc w:val="center"/>
              <w:rPr>
                <w:rFonts w:hint="eastAsia" w:ascii="仿宋_GB2312" w:eastAsia="仿宋_GB2312"/>
                <w:color w:val="000000"/>
                <w:sz w:val="20"/>
                <w:szCs w:val="20"/>
              </w:rPr>
            </w:pPr>
            <w:r>
              <w:rPr>
                <w:rFonts w:hint="eastAsia" w:ascii="仿宋_GB2312" w:eastAsia="仿宋_GB2312"/>
                <w:color w:val="000000"/>
                <w:sz w:val="20"/>
                <w:szCs w:val="20"/>
                <w:lang w:val="en-US" w:eastAsia="zh-CN"/>
              </w:rPr>
              <w:t xml:space="preserve"> </w:t>
            </w:r>
            <w:r>
              <w:rPr>
                <w:rFonts w:hint="eastAsia" w:ascii="仿宋_GB2312" w:eastAsia="仿宋_GB2312"/>
                <w:color w:val="000000"/>
                <w:sz w:val="20"/>
                <w:szCs w:val="20"/>
              </w:rPr>
              <w:t>1</w:t>
            </w:r>
          </w:p>
        </w:tc>
        <w:tc>
          <w:tcPr>
            <w:tcW w:w="2920" w:type="dxa"/>
            <w:tcBorders>
              <w:top w:val="nil"/>
              <w:left w:val="nil"/>
              <w:bottom w:val="single" w:color="auto" w:sz="4" w:space="0"/>
              <w:right w:val="single" w:color="auto" w:sz="4" w:space="0"/>
            </w:tcBorders>
            <w:noWrap w:val="0"/>
            <w:vAlign w:val="center"/>
          </w:tcPr>
          <w:p w14:paraId="354D3668">
            <w:pP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原大门拆除</w:t>
            </w:r>
          </w:p>
          <w:p w14:paraId="6ABE179B">
            <w:pPr>
              <w:rPr>
                <w:rFonts w:hint="eastAsia" w:ascii="仿宋_GB2312" w:eastAsia="仿宋_GB2312"/>
                <w:color w:val="000000"/>
                <w:sz w:val="20"/>
                <w:szCs w:val="20"/>
                <w:lang w:val="en-US" w:eastAsia="zh-CN"/>
              </w:rPr>
            </w:pPr>
            <w:r>
              <w:rPr>
                <w:rFonts w:hint="eastAsia" w:ascii="仿宋_GB2312" w:eastAsia="仿宋_GB2312"/>
                <w:color w:val="000000"/>
                <w:sz w:val="20"/>
                <w:szCs w:val="20"/>
              </w:rPr>
              <w:t>1.保护性拆除</w:t>
            </w:r>
            <w:r>
              <w:rPr>
                <w:rFonts w:hint="eastAsia" w:ascii="仿宋_GB2312" w:eastAsia="仿宋_GB2312"/>
                <w:color w:val="000000"/>
                <w:sz w:val="20"/>
                <w:szCs w:val="20"/>
                <w:lang w:val="en-US" w:eastAsia="zh-CN"/>
              </w:rPr>
              <w:t>3个</w:t>
            </w:r>
            <w:r>
              <w:rPr>
                <w:rFonts w:hint="eastAsia" w:ascii="仿宋_GB2312" w:eastAsia="仿宋_GB2312"/>
                <w:color w:val="000000"/>
                <w:sz w:val="20"/>
                <w:szCs w:val="20"/>
              </w:rPr>
              <w:t>现有料仓大门</w:t>
            </w:r>
            <w:r>
              <w:rPr>
                <w:rFonts w:hint="eastAsia" w:ascii="仿宋_GB2312" w:eastAsia="仿宋_GB2312"/>
                <w:color w:val="000000"/>
                <w:sz w:val="20"/>
                <w:szCs w:val="20"/>
                <w:lang w:val="en-US" w:eastAsia="zh-CN"/>
              </w:rPr>
              <w:t xml:space="preserve"> </w:t>
            </w:r>
          </w:p>
          <w:p w14:paraId="14B97CAB">
            <w:pPr>
              <w:pStyle w:val="6"/>
              <w:ind w:left="0" w:leftChars="0" w:firstLine="0" w:firstLineChars="0"/>
              <w:rPr>
                <w:rFonts w:hint="default"/>
                <w:lang w:val="en-US" w:eastAsia="zh-CN"/>
              </w:rPr>
            </w:pPr>
            <w:r>
              <w:rPr>
                <w:rFonts w:hint="eastAsia" w:ascii="仿宋_GB2312" w:eastAsia="仿宋_GB2312"/>
                <w:color w:val="000000"/>
                <w:sz w:val="20"/>
                <w:szCs w:val="20"/>
              </w:rPr>
              <w:t>2.存放至厂内指定位置</w:t>
            </w:r>
          </w:p>
        </w:tc>
        <w:tc>
          <w:tcPr>
            <w:tcW w:w="620" w:type="dxa"/>
            <w:tcBorders>
              <w:top w:val="nil"/>
              <w:left w:val="nil"/>
              <w:bottom w:val="single" w:color="auto" w:sz="4" w:space="0"/>
              <w:right w:val="single" w:color="auto" w:sz="4" w:space="0"/>
            </w:tcBorders>
            <w:noWrap w:val="0"/>
            <w:vAlign w:val="center"/>
          </w:tcPr>
          <w:p w14:paraId="78675096">
            <w:pPr>
              <w:jc w:val="center"/>
              <w:rPr>
                <w:rFonts w:hint="eastAsia" w:ascii="仿宋_GB2312" w:eastAsia="仿宋_GB2312"/>
                <w:color w:val="000000"/>
                <w:sz w:val="20"/>
                <w:szCs w:val="20"/>
                <w:lang w:eastAsia="zh-CN"/>
              </w:rPr>
            </w:pPr>
            <w:r>
              <w:rPr>
                <w:rFonts w:hint="eastAsia" w:ascii="仿宋_GB2312" w:eastAsia="仿宋_GB2312"/>
                <w:color w:val="000000"/>
                <w:sz w:val="20"/>
                <w:szCs w:val="20"/>
                <w:lang w:val="en-US" w:eastAsia="zh-CN"/>
              </w:rPr>
              <w:t>㎡</w:t>
            </w:r>
          </w:p>
        </w:tc>
        <w:tc>
          <w:tcPr>
            <w:tcW w:w="840" w:type="dxa"/>
            <w:tcBorders>
              <w:top w:val="nil"/>
              <w:left w:val="nil"/>
              <w:bottom w:val="single" w:color="auto" w:sz="4" w:space="0"/>
              <w:right w:val="single" w:color="auto" w:sz="4" w:space="0"/>
            </w:tcBorders>
            <w:noWrap w:val="0"/>
            <w:vAlign w:val="center"/>
          </w:tcPr>
          <w:p w14:paraId="442EABB6">
            <w:pPr>
              <w:jc w:val="center"/>
              <w:rPr>
                <w:rFonts w:hint="eastAsia" w:ascii="仿宋_GB2312" w:eastAsia="仿宋_GB2312"/>
                <w:color w:val="000000"/>
                <w:sz w:val="20"/>
                <w:szCs w:val="20"/>
              </w:rPr>
            </w:pPr>
            <w:r>
              <w:rPr>
                <w:rFonts w:hint="eastAsia" w:ascii="仿宋_GB2312" w:eastAsia="仿宋_GB2312"/>
                <w:color w:val="000000"/>
                <w:sz w:val="20"/>
                <w:szCs w:val="20"/>
              </w:rPr>
              <w:t>152</w:t>
            </w:r>
          </w:p>
        </w:tc>
        <w:tc>
          <w:tcPr>
            <w:tcW w:w="3800" w:type="dxa"/>
            <w:tcBorders>
              <w:top w:val="nil"/>
              <w:left w:val="nil"/>
              <w:bottom w:val="single" w:color="auto" w:sz="4" w:space="0"/>
              <w:right w:val="single" w:color="auto" w:sz="4" w:space="0"/>
            </w:tcBorders>
            <w:noWrap w:val="0"/>
            <w:vAlign w:val="center"/>
          </w:tcPr>
          <w:p w14:paraId="34E0EF85">
            <w:pPr>
              <w:rPr>
                <w:rFonts w:hint="eastAsia" w:ascii="仿宋_GB2312" w:eastAsia="仿宋_GB2312"/>
                <w:color w:val="000000"/>
                <w:sz w:val="20"/>
                <w:szCs w:val="20"/>
              </w:rPr>
            </w:pPr>
          </w:p>
        </w:tc>
      </w:tr>
      <w:tr w14:paraId="21F14B66">
        <w:tblPrEx>
          <w:tblCellMar>
            <w:top w:w="0" w:type="dxa"/>
            <w:left w:w="108" w:type="dxa"/>
            <w:bottom w:w="0" w:type="dxa"/>
            <w:right w:w="108" w:type="dxa"/>
          </w:tblCellMar>
        </w:tblPrEx>
        <w:trPr>
          <w:trHeight w:val="688" w:hRule="atLeast"/>
        </w:trPr>
        <w:tc>
          <w:tcPr>
            <w:tcW w:w="620" w:type="dxa"/>
            <w:tcBorders>
              <w:top w:val="nil"/>
              <w:left w:val="single" w:color="auto" w:sz="4" w:space="0"/>
              <w:bottom w:val="single" w:color="auto" w:sz="4" w:space="0"/>
              <w:right w:val="single" w:color="auto" w:sz="4" w:space="0"/>
            </w:tcBorders>
            <w:noWrap/>
            <w:vAlign w:val="center"/>
          </w:tcPr>
          <w:p w14:paraId="70C4F8B4">
            <w:pPr>
              <w:jc w:val="center"/>
              <w:rPr>
                <w:rFonts w:hint="eastAsia" w:ascii="仿宋_GB2312" w:eastAsia="仿宋_GB2312"/>
                <w:color w:val="000000"/>
                <w:sz w:val="20"/>
                <w:szCs w:val="20"/>
              </w:rPr>
            </w:pPr>
            <w:r>
              <w:rPr>
                <w:rFonts w:hint="eastAsia" w:ascii="仿宋_GB2312" w:eastAsia="仿宋_GB2312"/>
                <w:color w:val="000000"/>
                <w:sz w:val="20"/>
                <w:szCs w:val="20"/>
              </w:rPr>
              <w:t>2</w:t>
            </w:r>
          </w:p>
        </w:tc>
        <w:tc>
          <w:tcPr>
            <w:tcW w:w="2920" w:type="dxa"/>
            <w:tcBorders>
              <w:top w:val="nil"/>
              <w:left w:val="nil"/>
              <w:bottom w:val="single" w:color="auto" w:sz="4" w:space="0"/>
              <w:right w:val="single" w:color="auto" w:sz="4" w:space="0"/>
            </w:tcBorders>
            <w:noWrap w:val="0"/>
            <w:vAlign w:val="center"/>
          </w:tcPr>
          <w:p w14:paraId="0D99FA17">
            <w:pPr>
              <w:rPr>
                <w:rFonts w:hint="eastAsia" w:ascii="仿宋_GB2312" w:eastAsia="仿宋_GB2312"/>
                <w:color w:val="000000"/>
                <w:sz w:val="20"/>
                <w:szCs w:val="20"/>
              </w:rPr>
            </w:pPr>
            <w:r>
              <w:rPr>
                <w:rFonts w:hint="eastAsia" w:ascii="仿宋_GB2312" w:eastAsia="仿宋_GB2312"/>
                <w:color w:val="000000"/>
                <w:sz w:val="20"/>
                <w:szCs w:val="20"/>
              </w:rPr>
              <w:t>快速堆积门安装</w:t>
            </w:r>
          </w:p>
          <w:p w14:paraId="66B90E57">
            <w:pPr>
              <w:rPr>
                <w:rFonts w:hint="eastAsia" w:ascii="仿宋_GB2312" w:eastAsia="仿宋_GB2312"/>
                <w:color w:val="000000"/>
                <w:sz w:val="20"/>
                <w:szCs w:val="20"/>
              </w:rPr>
            </w:pPr>
            <w:r>
              <w:rPr>
                <w:rFonts w:hint="eastAsia" w:ascii="仿宋_GB2312" w:eastAsia="仿宋_GB2312"/>
                <w:color w:val="000000"/>
                <w:sz w:val="20"/>
                <w:szCs w:val="20"/>
              </w:rPr>
              <w:t>1.安装两个钢构立柱，并制作立柱基础，用于安装门框（材料甲供）</w:t>
            </w:r>
          </w:p>
          <w:p w14:paraId="2F2BCDAE">
            <w:pPr>
              <w:rPr>
                <w:rFonts w:hint="eastAsia" w:ascii="仿宋_GB2312" w:eastAsia="仿宋_GB2312"/>
                <w:color w:val="000000"/>
                <w:sz w:val="20"/>
                <w:szCs w:val="20"/>
              </w:rPr>
            </w:pPr>
            <w:r>
              <w:rPr>
                <w:rFonts w:hint="eastAsia" w:ascii="仿宋_GB2312" w:eastAsia="仿宋_GB2312"/>
                <w:color w:val="000000"/>
                <w:sz w:val="20"/>
                <w:szCs w:val="20"/>
              </w:rPr>
              <w:t>2.安装三个新快速堆积门，尺寸均为9000*6000</w:t>
            </w:r>
          </w:p>
          <w:p w14:paraId="2F1DC6BD">
            <w:pPr>
              <w:rPr>
                <w:rFonts w:hint="eastAsia" w:ascii="仿宋_GB2312" w:eastAsia="仿宋_GB2312"/>
                <w:color w:val="000000"/>
                <w:sz w:val="20"/>
                <w:szCs w:val="20"/>
              </w:rPr>
            </w:pPr>
            <w:r>
              <w:rPr>
                <w:rFonts w:hint="eastAsia" w:ascii="仿宋_GB2312" w:eastAsia="仿宋_GB2312"/>
                <w:color w:val="000000"/>
                <w:sz w:val="20"/>
                <w:szCs w:val="20"/>
              </w:rPr>
              <w:t>3.材质甲方确定</w:t>
            </w:r>
          </w:p>
          <w:p w14:paraId="7985012A">
            <w:pPr>
              <w:pStyle w:val="6"/>
              <w:ind w:left="0" w:leftChars="0" w:firstLine="0" w:firstLineChars="0"/>
              <w:rPr>
                <w:rFonts w:hint="eastAsia"/>
              </w:rPr>
            </w:pPr>
            <w:r>
              <w:rPr>
                <w:rFonts w:hint="eastAsia" w:ascii="仿宋_GB2312" w:eastAsia="仿宋_GB2312"/>
                <w:color w:val="000000"/>
                <w:sz w:val="20"/>
                <w:szCs w:val="20"/>
                <w:lang w:val="en-US" w:eastAsia="zh-CN"/>
              </w:rPr>
              <w:t>4.乙方负责供货、安装、调试</w:t>
            </w:r>
          </w:p>
        </w:tc>
        <w:tc>
          <w:tcPr>
            <w:tcW w:w="620" w:type="dxa"/>
            <w:tcBorders>
              <w:top w:val="nil"/>
              <w:left w:val="nil"/>
              <w:bottom w:val="single" w:color="auto" w:sz="4" w:space="0"/>
              <w:right w:val="single" w:color="auto" w:sz="4" w:space="0"/>
            </w:tcBorders>
            <w:noWrap w:val="0"/>
            <w:vAlign w:val="center"/>
          </w:tcPr>
          <w:p w14:paraId="24CA7311">
            <w:pPr>
              <w:jc w:val="center"/>
              <w:rPr>
                <w:rFonts w:hint="eastAsia" w:ascii="仿宋_GB2312" w:eastAsia="仿宋_GB2312"/>
                <w:color w:val="000000"/>
                <w:sz w:val="20"/>
                <w:szCs w:val="20"/>
              </w:rPr>
            </w:pPr>
            <w:r>
              <w:rPr>
                <w:rFonts w:hint="eastAsia" w:ascii="仿宋_GB2312" w:eastAsia="仿宋_GB2312"/>
                <w:color w:val="000000"/>
                <w:sz w:val="20"/>
                <w:szCs w:val="20"/>
                <w:lang w:val="en-US" w:eastAsia="zh-CN"/>
              </w:rPr>
              <w:t>㎡</w:t>
            </w:r>
          </w:p>
        </w:tc>
        <w:tc>
          <w:tcPr>
            <w:tcW w:w="840" w:type="dxa"/>
            <w:tcBorders>
              <w:top w:val="nil"/>
              <w:left w:val="nil"/>
              <w:bottom w:val="single" w:color="auto" w:sz="4" w:space="0"/>
              <w:right w:val="single" w:color="auto" w:sz="4" w:space="0"/>
            </w:tcBorders>
            <w:noWrap w:val="0"/>
            <w:vAlign w:val="center"/>
          </w:tcPr>
          <w:p w14:paraId="1A3028D1">
            <w:pPr>
              <w:jc w:val="center"/>
              <w:rPr>
                <w:rFonts w:hint="eastAsia" w:ascii="仿宋_GB2312" w:eastAsia="仿宋_GB2312"/>
                <w:color w:val="000000"/>
                <w:sz w:val="20"/>
                <w:szCs w:val="20"/>
              </w:rPr>
            </w:pPr>
            <w:r>
              <w:rPr>
                <w:rFonts w:hint="eastAsia" w:ascii="仿宋_GB2312" w:eastAsia="仿宋_GB2312"/>
                <w:color w:val="000000"/>
                <w:sz w:val="20"/>
                <w:szCs w:val="20"/>
              </w:rPr>
              <w:t>1</w:t>
            </w:r>
            <w:r>
              <w:rPr>
                <w:rFonts w:hint="eastAsia" w:ascii="仿宋_GB2312" w:eastAsia="仿宋_GB2312"/>
                <w:color w:val="000000"/>
                <w:sz w:val="20"/>
                <w:szCs w:val="20"/>
                <w:lang w:val="en-US" w:eastAsia="zh-CN"/>
              </w:rPr>
              <w:t>6</w:t>
            </w:r>
            <w:r>
              <w:rPr>
                <w:rFonts w:hint="eastAsia" w:ascii="仿宋_GB2312" w:eastAsia="仿宋_GB2312"/>
                <w:color w:val="000000"/>
                <w:sz w:val="20"/>
                <w:szCs w:val="20"/>
              </w:rPr>
              <w:t>2</w:t>
            </w:r>
          </w:p>
        </w:tc>
        <w:tc>
          <w:tcPr>
            <w:tcW w:w="3800" w:type="dxa"/>
            <w:tcBorders>
              <w:top w:val="nil"/>
              <w:left w:val="nil"/>
              <w:bottom w:val="single" w:color="auto" w:sz="4" w:space="0"/>
              <w:right w:val="single" w:color="auto" w:sz="4" w:space="0"/>
            </w:tcBorders>
            <w:noWrap w:val="0"/>
            <w:vAlign w:val="center"/>
          </w:tcPr>
          <w:p w14:paraId="47150FCE">
            <w:pPr>
              <w:rPr>
                <w:rFonts w:hint="default" w:ascii="仿宋_GB2312" w:eastAsia="仿宋_GB2312"/>
                <w:color w:val="000000"/>
                <w:sz w:val="20"/>
                <w:szCs w:val="20"/>
                <w:lang w:val="en-US" w:eastAsia="zh-CN"/>
              </w:rPr>
            </w:pPr>
          </w:p>
        </w:tc>
      </w:tr>
      <w:tr w14:paraId="5EDA26D7">
        <w:tblPrEx>
          <w:tblCellMar>
            <w:top w:w="0" w:type="dxa"/>
            <w:left w:w="108" w:type="dxa"/>
            <w:bottom w:w="0" w:type="dxa"/>
            <w:right w:w="108" w:type="dxa"/>
          </w:tblCellMar>
        </w:tblPrEx>
        <w:trPr>
          <w:trHeight w:val="450" w:hRule="atLeast"/>
        </w:trPr>
        <w:tc>
          <w:tcPr>
            <w:tcW w:w="620" w:type="dxa"/>
            <w:tcBorders>
              <w:top w:val="nil"/>
              <w:left w:val="single" w:color="auto" w:sz="4" w:space="0"/>
              <w:bottom w:val="single" w:color="auto" w:sz="4" w:space="0"/>
              <w:right w:val="single" w:color="auto" w:sz="4" w:space="0"/>
            </w:tcBorders>
            <w:noWrap/>
            <w:vAlign w:val="center"/>
          </w:tcPr>
          <w:p w14:paraId="0E8106C8">
            <w:pPr>
              <w:jc w:val="center"/>
              <w:rPr>
                <w:rFonts w:hint="eastAsia" w:ascii="仿宋_GB2312" w:eastAsia="仿宋_GB2312"/>
                <w:color w:val="000000"/>
                <w:sz w:val="20"/>
                <w:szCs w:val="20"/>
              </w:rPr>
            </w:pPr>
            <w:r>
              <w:rPr>
                <w:rFonts w:hint="eastAsia" w:ascii="仿宋_GB2312" w:eastAsia="仿宋_GB2312"/>
                <w:color w:val="000000"/>
                <w:sz w:val="20"/>
                <w:szCs w:val="20"/>
              </w:rPr>
              <w:t>3</w:t>
            </w:r>
          </w:p>
        </w:tc>
        <w:tc>
          <w:tcPr>
            <w:tcW w:w="2920" w:type="dxa"/>
            <w:tcBorders>
              <w:top w:val="nil"/>
              <w:left w:val="nil"/>
              <w:bottom w:val="single" w:color="auto" w:sz="4" w:space="0"/>
              <w:right w:val="single" w:color="auto" w:sz="4" w:space="0"/>
            </w:tcBorders>
            <w:noWrap w:val="0"/>
            <w:vAlign w:val="center"/>
          </w:tcPr>
          <w:p w14:paraId="242F1FC4">
            <w:pPr>
              <w:rPr>
                <w:rFonts w:hint="eastAsia" w:ascii="宋体" w:hAnsi="宋体" w:cs="宋体"/>
                <w:kern w:val="0"/>
                <w:sz w:val="18"/>
                <w:szCs w:val="18"/>
                <w:lang w:val="en-US" w:eastAsia="zh-CN"/>
              </w:rPr>
            </w:pPr>
            <w:r>
              <w:rPr>
                <w:rFonts w:hint="eastAsia" w:ascii="宋体" w:hAnsi="宋体" w:cs="宋体"/>
                <w:kern w:val="0"/>
                <w:sz w:val="18"/>
                <w:szCs w:val="18"/>
                <w:lang w:val="en-US" w:eastAsia="zh-CN"/>
              </w:rPr>
              <w:t>单层压型金属板围护结构封闭</w:t>
            </w:r>
          </w:p>
          <w:p w14:paraId="590E41BA">
            <w:pPr>
              <w:rPr>
                <w:rFonts w:hint="eastAsia" w:ascii="仿宋_GB2312" w:eastAsia="仿宋_GB2312"/>
                <w:color w:val="000000"/>
                <w:sz w:val="20"/>
                <w:szCs w:val="20"/>
              </w:rPr>
            </w:pPr>
            <w:r>
              <w:rPr>
                <w:rFonts w:hint="eastAsia" w:ascii="仿宋_GB2312" w:eastAsia="仿宋_GB2312"/>
                <w:color w:val="000000"/>
                <w:sz w:val="20"/>
                <w:szCs w:val="20"/>
              </w:rPr>
              <w:t>1.压型板墙面封闭</w:t>
            </w:r>
          </w:p>
          <w:p w14:paraId="0FAF524E">
            <w:pPr>
              <w:rPr>
                <w:rFonts w:hint="default" w:ascii="仿宋_GB2312" w:eastAsia="仿宋_GB2312"/>
                <w:color w:val="000000"/>
                <w:sz w:val="20"/>
                <w:szCs w:val="20"/>
                <w:lang w:val="en-US"/>
              </w:rPr>
            </w:pPr>
            <w:r>
              <w:rPr>
                <w:rFonts w:hint="eastAsia" w:ascii="仿宋_GB2312" w:eastAsia="仿宋_GB2312"/>
                <w:color w:val="000000"/>
                <w:sz w:val="20"/>
                <w:szCs w:val="20"/>
              </w:rPr>
              <w:t>2.檩条按规范安装</w:t>
            </w:r>
          </w:p>
        </w:tc>
        <w:tc>
          <w:tcPr>
            <w:tcW w:w="620" w:type="dxa"/>
            <w:tcBorders>
              <w:top w:val="nil"/>
              <w:left w:val="nil"/>
              <w:bottom w:val="single" w:color="auto" w:sz="4" w:space="0"/>
              <w:right w:val="single" w:color="auto" w:sz="4" w:space="0"/>
            </w:tcBorders>
            <w:noWrap w:val="0"/>
            <w:vAlign w:val="center"/>
          </w:tcPr>
          <w:p w14:paraId="3C6135A1">
            <w:pPr>
              <w:jc w:val="center"/>
              <w:rPr>
                <w:rFonts w:hint="eastAsia" w:ascii="仿宋_GB2312" w:eastAsia="仿宋_GB2312"/>
                <w:color w:val="000000"/>
                <w:sz w:val="20"/>
                <w:szCs w:val="20"/>
              </w:rPr>
            </w:pPr>
            <w:r>
              <w:rPr>
                <w:rFonts w:hint="eastAsia" w:ascii="宋体" w:hAnsi="宋体" w:cs="宋体"/>
                <w:kern w:val="0"/>
                <w:sz w:val="18"/>
                <w:szCs w:val="18"/>
              </w:rPr>
              <w:t>m2</w:t>
            </w:r>
          </w:p>
        </w:tc>
        <w:tc>
          <w:tcPr>
            <w:tcW w:w="840" w:type="dxa"/>
            <w:tcBorders>
              <w:top w:val="nil"/>
              <w:left w:val="nil"/>
              <w:bottom w:val="single" w:color="auto" w:sz="4" w:space="0"/>
              <w:right w:val="single" w:color="auto" w:sz="4" w:space="0"/>
            </w:tcBorders>
            <w:noWrap w:val="0"/>
            <w:vAlign w:val="center"/>
          </w:tcPr>
          <w:p w14:paraId="4C44A492">
            <w:pPr>
              <w:jc w:val="center"/>
              <w:rPr>
                <w:rFonts w:hint="eastAsia" w:ascii="仿宋_GB2312" w:eastAsia="仿宋_GB2312"/>
                <w:color w:val="000000"/>
                <w:sz w:val="20"/>
                <w:szCs w:val="20"/>
              </w:rPr>
            </w:pPr>
            <w:r>
              <w:rPr>
                <w:rFonts w:hint="eastAsia" w:ascii="宋体" w:hAnsi="宋体" w:cs="宋体"/>
                <w:kern w:val="0"/>
                <w:sz w:val="18"/>
                <w:szCs w:val="18"/>
                <w:lang w:val="en-US" w:eastAsia="zh-CN"/>
              </w:rPr>
              <w:t>40</w:t>
            </w:r>
          </w:p>
        </w:tc>
        <w:tc>
          <w:tcPr>
            <w:tcW w:w="3800" w:type="dxa"/>
            <w:tcBorders>
              <w:top w:val="nil"/>
              <w:left w:val="nil"/>
              <w:bottom w:val="single" w:color="auto" w:sz="4" w:space="0"/>
              <w:right w:val="single" w:color="auto" w:sz="4" w:space="0"/>
            </w:tcBorders>
            <w:noWrap w:val="0"/>
            <w:vAlign w:val="center"/>
          </w:tcPr>
          <w:p w14:paraId="192D0031">
            <w:pPr>
              <w:rPr>
                <w:rFonts w:hint="eastAsia" w:ascii="仿宋_GB2312" w:eastAsia="仿宋_GB2312"/>
                <w:color w:val="000000"/>
                <w:sz w:val="20"/>
                <w:szCs w:val="20"/>
              </w:rPr>
            </w:pPr>
          </w:p>
        </w:tc>
      </w:tr>
      <w:tr w14:paraId="163410B6">
        <w:tblPrEx>
          <w:tblCellMar>
            <w:top w:w="0" w:type="dxa"/>
            <w:left w:w="108" w:type="dxa"/>
            <w:bottom w:w="0" w:type="dxa"/>
            <w:right w:w="108" w:type="dxa"/>
          </w:tblCellMar>
        </w:tblPrEx>
        <w:trPr>
          <w:trHeight w:val="333" w:hRule="atLeast"/>
        </w:trPr>
        <w:tc>
          <w:tcPr>
            <w:tcW w:w="620" w:type="dxa"/>
            <w:tcBorders>
              <w:top w:val="nil"/>
              <w:left w:val="single" w:color="auto" w:sz="4" w:space="0"/>
              <w:bottom w:val="single" w:color="auto" w:sz="4" w:space="0"/>
              <w:right w:val="single" w:color="auto" w:sz="4" w:space="0"/>
            </w:tcBorders>
            <w:noWrap/>
            <w:vAlign w:val="center"/>
          </w:tcPr>
          <w:p w14:paraId="6296993D">
            <w:pPr>
              <w:jc w:val="center"/>
              <w:rPr>
                <w:rFonts w:hint="eastAsia" w:ascii="仿宋_GB2312" w:eastAsia="仿宋_GB2312"/>
                <w:color w:val="000000"/>
                <w:sz w:val="20"/>
                <w:szCs w:val="20"/>
              </w:rPr>
            </w:pPr>
            <w:r>
              <w:rPr>
                <w:rFonts w:hint="eastAsia" w:ascii="仿宋_GB2312" w:eastAsia="仿宋_GB2312"/>
                <w:color w:val="000000"/>
                <w:sz w:val="20"/>
                <w:szCs w:val="20"/>
              </w:rPr>
              <w:t>4</w:t>
            </w:r>
          </w:p>
        </w:tc>
        <w:tc>
          <w:tcPr>
            <w:tcW w:w="2920" w:type="dxa"/>
            <w:tcBorders>
              <w:top w:val="nil"/>
              <w:left w:val="nil"/>
              <w:bottom w:val="single" w:color="auto" w:sz="4" w:space="0"/>
              <w:right w:val="single" w:color="auto" w:sz="4" w:space="0"/>
            </w:tcBorders>
            <w:noWrap w:val="0"/>
            <w:vAlign w:val="center"/>
          </w:tcPr>
          <w:p w14:paraId="3D43BA36">
            <w:pPr>
              <w:rPr>
                <w:rFonts w:hint="eastAsia" w:ascii="仿宋_GB2312" w:eastAsia="仿宋_GB2312"/>
                <w:color w:val="000000"/>
                <w:sz w:val="20"/>
                <w:szCs w:val="20"/>
              </w:rPr>
            </w:pPr>
            <w:r>
              <w:rPr>
                <w:rFonts w:hint="eastAsia" w:ascii="仿宋_GB2312" w:eastAsia="仿宋_GB2312"/>
                <w:color w:val="000000"/>
                <w:sz w:val="20"/>
                <w:szCs w:val="20"/>
              </w:rPr>
              <w:t>声光显示屏和标识牌挪移</w:t>
            </w:r>
          </w:p>
          <w:p w14:paraId="3D8F8CAE">
            <w:pPr>
              <w:rPr>
                <w:rFonts w:hint="eastAsia" w:ascii="仿宋_GB2312" w:eastAsia="仿宋_GB2312"/>
                <w:color w:val="000000"/>
                <w:sz w:val="20"/>
                <w:szCs w:val="20"/>
              </w:rPr>
            </w:pPr>
            <w:r>
              <w:rPr>
                <w:rFonts w:hint="eastAsia" w:ascii="仿宋_GB2312" w:eastAsia="仿宋_GB2312"/>
                <w:color w:val="000000"/>
                <w:sz w:val="20"/>
                <w:szCs w:val="20"/>
              </w:rPr>
              <w:t>1.拆除原位置声光显示屏和标识牌</w:t>
            </w:r>
          </w:p>
          <w:p w14:paraId="49A33EA3">
            <w:pPr>
              <w:pStyle w:val="6"/>
              <w:ind w:left="0" w:leftChars="0" w:firstLine="0" w:firstLineChars="0"/>
              <w:rPr>
                <w:rFonts w:hint="eastAsia"/>
              </w:rPr>
            </w:pPr>
            <w:r>
              <w:rPr>
                <w:rFonts w:hint="eastAsia" w:ascii="仿宋_GB2312" w:eastAsia="仿宋_GB2312"/>
                <w:color w:val="000000"/>
                <w:sz w:val="20"/>
                <w:szCs w:val="20"/>
              </w:rPr>
              <w:t>2.改造完后在合适位置恢复</w:t>
            </w:r>
          </w:p>
        </w:tc>
        <w:tc>
          <w:tcPr>
            <w:tcW w:w="620" w:type="dxa"/>
            <w:tcBorders>
              <w:top w:val="nil"/>
              <w:left w:val="nil"/>
              <w:bottom w:val="single" w:color="auto" w:sz="4" w:space="0"/>
              <w:right w:val="single" w:color="auto" w:sz="4" w:space="0"/>
            </w:tcBorders>
            <w:noWrap w:val="0"/>
            <w:vAlign w:val="center"/>
          </w:tcPr>
          <w:p w14:paraId="703E364F">
            <w:pPr>
              <w:jc w:val="center"/>
              <w:rPr>
                <w:rFonts w:hint="eastAsia" w:ascii="仿宋_GB2312" w:eastAsia="仿宋_GB2312"/>
                <w:color w:val="000000"/>
                <w:sz w:val="20"/>
                <w:szCs w:val="20"/>
              </w:rPr>
            </w:pPr>
            <w:r>
              <w:rPr>
                <w:rFonts w:hint="eastAsia" w:ascii="仿宋_GB2312" w:eastAsia="仿宋_GB2312"/>
                <w:color w:val="000000"/>
                <w:sz w:val="20"/>
                <w:szCs w:val="20"/>
              </w:rPr>
              <w:t>台</w:t>
            </w:r>
          </w:p>
        </w:tc>
        <w:tc>
          <w:tcPr>
            <w:tcW w:w="840" w:type="dxa"/>
            <w:tcBorders>
              <w:top w:val="nil"/>
              <w:left w:val="nil"/>
              <w:bottom w:val="single" w:color="auto" w:sz="4" w:space="0"/>
              <w:right w:val="single" w:color="auto" w:sz="4" w:space="0"/>
            </w:tcBorders>
            <w:noWrap w:val="0"/>
            <w:vAlign w:val="center"/>
          </w:tcPr>
          <w:p w14:paraId="472B7E0D">
            <w:pPr>
              <w:jc w:val="center"/>
              <w:rPr>
                <w:rFonts w:hint="eastAsia" w:ascii="仿宋_GB2312" w:eastAsia="仿宋_GB2312"/>
                <w:color w:val="000000"/>
                <w:sz w:val="20"/>
                <w:szCs w:val="20"/>
                <w:lang w:eastAsia="zh-CN"/>
              </w:rPr>
            </w:pPr>
            <w:r>
              <w:rPr>
                <w:rFonts w:hint="eastAsia" w:ascii="仿宋_GB2312" w:eastAsia="仿宋_GB2312"/>
                <w:color w:val="000000"/>
                <w:sz w:val="20"/>
                <w:szCs w:val="20"/>
                <w:lang w:val="en-US" w:eastAsia="zh-CN"/>
              </w:rPr>
              <w:t>3</w:t>
            </w:r>
          </w:p>
        </w:tc>
        <w:tc>
          <w:tcPr>
            <w:tcW w:w="3800" w:type="dxa"/>
            <w:tcBorders>
              <w:top w:val="nil"/>
              <w:left w:val="nil"/>
              <w:bottom w:val="single" w:color="auto" w:sz="4" w:space="0"/>
              <w:right w:val="single" w:color="auto" w:sz="4" w:space="0"/>
            </w:tcBorders>
            <w:noWrap w:val="0"/>
            <w:vAlign w:val="center"/>
          </w:tcPr>
          <w:p w14:paraId="45275E0C">
            <w:pPr>
              <w:rPr>
                <w:rFonts w:hint="eastAsia" w:ascii="仿宋_GB2312" w:eastAsia="仿宋_GB2312"/>
                <w:color w:val="000000"/>
                <w:sz w:val="20"/>
                <w:szCs w:val="20"/>
              </w:rPr>
            </w:pPr>
          </w:p>
        </w:tc>
      </w:tr>
    </w:tbl>
    <w:p w14:paraId="3729837F">
      <w:pPr>
        <w:pStyle w:val="6"/>
        <w:ind w:left="0" w:leftChars="0" w:firstLine="0" w:firstLineChars="0"/>
        <w:rPr>
          <w:rFonts w:hint="default" w:eastAsiaTheme="minorEastAsia"/>
          <w:lang w:val="en-US" w:eastAsia="zh-CN"/>
        </w:rPr>
      </w:pPr>
      <w:r>
        <w:rPr>
          <w:rFonts w:hint="eastAsia"/>
          <w:lang w:val="en-US" w:eastAsia="zh-CN"/>
        </w:rPr>
        <w:t xml:space="preserve">  </w:t>
      </w:r>
    </w:p>
    <w:p w14:paraId="05987AAD">
      <w:pPr>
        <w:widowControl w:val="0"/>
        <w:spacing w:line="360" w:lineRule="auto"/>
        <w:ind w:firstLine="420" w:firstLineChars="200"/>
        <w:rPr>
          <w:rFonts w:ascii="仿宋_GB2312" w:hAnsi="Times New Roman" w:eastAsia="仿宋_GB2312" w:cs="Times New Roman"/>
        </w:rPr>
      </w:pPr>
      <w:r>
        <w:rPr>
          <w:rFonts w:hint="eastAsia" w:ascii="仿宋_GB2312" w:hAnsi="Times New Roman" w:eastAsia="仿宋_GB2312" w:cs="Times New Roman"/>
        </w:rPr>
        <w:t>投标人负责按照工程量清单完成</w:t>
      </w:r>
      <w:r>
        <w:rPr>
          <w:rFonts w:hint="eastAsia" w:ascii="仿宋_GB2312" w:hAnsi="Times New Roman" w:eastAsia="仿宋_GB2312" w:cs="Times New Roman"/>
          <w:lang w:val="en-US" w:eastAsia="zh-CN"/>
        </w:rPr>
        <w:t>快速堆积门改造</w:t>
      </w:r>
      <w:r>
        <w:rPr>
          <w:rFonts w:hint="eastAsia" w:ascii="仿宋_GB2312" w:hAnsi="Times New Roman" w:eastAsia="仿宋_GB2312" w:cs="Times New Roman"/>
        </w:rPr>
        <w:t>等工作，并进行调试，保证满足招标方工艺要求。</w:t>
      </w:r>
    </w:p>
    <w:p w14:paraId="6E1BF9A9">
      <w:pPr>
        <w:widowControl w:val="0"/>
        <w:spacing w:line="360" w:lineRule="auto"/>
        <w:ind w:firstLine="420" w:firstLineChars="200"/>
        <w:rPr>
          <w:rFonts w:hint="eastAsia" w:ascii="仿宋_GB2312" w:hAnsi="Times New Roman" w:eastAsia="仿宋_GB2312" w:cs="Times New Roman"/>
        </w:rPr>
      </w:pPr>
      <w:r>
        <w:rPr>
          <w:rFonts w:hint="eastAsia" w:ascii="仿宋_GB2312" w:hAnsi="Times New Roman" w:eastAsia="仿宋_GB2312" w:cs="Times New Roman"/>
          <w:lang w:val="zh-CN"/>
        </w:rPr>
        <w:t>施工地点：</w:t>
      </w:r>
      <w:r>
        <w:rPr>
          <w:rFonts w:hint="eastAsia" w:ascii="仿宋_GB2312" w:hAnsi="Times New Roman" w:eastAsia="仿宋_GB2312" w:cs="Times New Roman"/>
        </w:rPr>
        <w:t>山东省济南市章丘区埠村街道济南鲍德冶金石灰石有限公司翟家庄矿区。</w:t>
      </w:r>
    </w:p>
    <w:p w14:paraId="03A9A303">
      <w:pPr>
        <w:widowControl w:val="0"/>
        <w:spacing w:line="360" w:lineRule="auto"/>
        <w:ind w:firstLine="420" w:firstLineChars="200"/>
        <w:rPr>
          <w:rFonts w:hint="eastAsia" w:ascii="仿宋_GB2312" w:hAnsi="Times New Roman" w:eastAsia="仿宋_GB2312" w:cs="Times New Roman"/>
        </w:rPr>
      </w:pPr>
      <w:r>
        <w:rPr>
          <w:rFonts w:hint="eastAsia" w:ascii="仿宋_GB2312" w:hAnsi="Times New Roman" w:eastAsia="仿宋_GB2312" w:cs="Times New Roman"/>
        </w:rPr>
        <w:t>施工期限：</w:t>
      </w:r>
      <w:r>
        <w:rPr>
          <w:rFonts w:hint="eastAsia" w:ascii="仿宋_GB2312" w:hAnsi="Times New Roman" w:eastAsia="仿宋_GB2312" w:cs="Times New Roman"/>
          <w:lang w:val="en-US" w:eastAsia="zh-CN"/>
        </w:rPr>
        <w:t>10</w:t>
      </w:r>
      <w:r>
        <w:rPr>
          <w:rFonts w:hint="eastAsia" w:ascii="仿宋_GB2312" w:hAnsi="Times New Roman" w:eastAsia="仿宋_GB2312" w:cs="Times New Roman"/>
        </w:rPr>
        <w:t>日历天</w:t>
      </w:r>
    </w:p>
    <w:p w14:paraId="12F1FC23">
      <w:pPr>
        <w:widowControl w:val="0"/>
        <w:spacing w:line="360" w:lineRule="auto"/>
        <w:ind w:firstLine="420" w:firstLineChars="200"/>
        <w:rPr>
          <w:rFonts w:hint="eastAsia" w:ascii="仿宋_GB2312" w:hAnsi="Times New Roman" w:eastAsia="仿宋_GB2312" w:cs="Times New Roman"/>
        </w:rPr>
      </w:pPr>
      <w:r>
        <w:rPr>
          <w:rFonts w:hint="eastAsia" w:ascii="仿宋_GB2312" w:hAnsi="Times New Roman" w:eastAsia="仿宋_GB2312" w:cs="Times New Roman"/>
        </w:rPr>
        <w:t>质保期：整体质保期12个月。</w:t>
      </w:r>
    </w:p>
    <w:p w14:paraId="55B1E504">
      <w:pPr>
        <w:widowControl w:val="0"/>
        <w:spacing w:line="360" w:lineRule="auto"/>
        <w:ind w:firstLine="420" w:firstLineChars="200"/>
        <w:rPr>
          <w:rFonts w:hint="eastAsia" w:ascii="仿宋_GB2312" w:hAnsi="Times New Roman" w:eastAsia="仿宋_GB2312" w:cs="Times New Roman"/>
          <w:lang w:eastAsia="zh-CN"/>
        </w:rPr>
      </w:pPr>
      <w:r>
        <w:rPr>
          <w:rFonts w:hint="eastAsia" w:ascii="仿宋_GB2312" w:hAnsi="Times New Roman" w:eastAsia="仿宋_GB2312" w:cs="Times New Roman"/>
        </w:rPr>
        <w:t>付款方式及进度：买方付款方式为</w:t>
      </w:r>
      <w:r>
        <w:rPr>
          <w:rFonts w:hint="eastAsia" w:ascii="仿宋_GB2312" w:hAnsi="Times New Roman" w:eastAsia="仿宋_GB2312" w:cs="Times New Roman"/>
          <w:lang w:val="en-US" w:eastAsia="zh-CN"/>
        </w:rPr>
        <w:t>银行</w:t>
      </w:r>
      <w:r>
        <w:rPr>
          <w:rFonts w:hint="eastAsia" w:ascii="仿宋_GB2312" w:hAnsi="Times New Roman" w:eastAsia="仿宋_GB2312" w:cs="Times New Roman"/>
        </w:rPr>
        <w:t>承兑或</w:t>
      </w:r>
      <w:r>
        <w:rPr>
          <w:rFonts w:hint="eastAsia" w:ascii="仿宋_GB2312" w:hAnsi="Times New Roman" w:eastAsia="仿宋_GB2312" w:cs="Times New Roman"/>
          <w:lang w:val="en-US" w:eastAsia="zh-CN"/>
        </w:rPr>
        <w:t>供应链票据</w:t>
      </w:r>
      <w:r>
        <w:rPr>
          <w:rFonts w:hint="eastAsia" w:ascii="仿宋_GB2312" w:hAnsi="Times New Roman" w:eastAsia="仿宋_GB2312" w:cs="Times New Roman"/>
        </w:rPr>
        <w:t>付款</w:t>
      </w:r>
      <w:r>
        <w:rPr>
          <w:rFonts w:hint="eastAsia" w:ascii="仿宋_GB2312" w:hAnsi="Times New Roman" w:eastAsia="仿宋_GB2312" w:cs="Times New Roman"/>
          <w:lang w:eastAsia="zh-CN"/>
        </w:rPr>
        <w:t>。</w:t>
      </w:r>
    </w:p>
    <w:p w14:paraId="6D06284A">
      <w:pPr>
        <w:widowControl w:val="0"/>
        <w:spacing w:line="360" w:lineRule="auto"/>
        <w:ind w:firstLine="420" w:firstLineChars="200"/>
        <w:rPr>
          <w:rFonts w:hint="eastAsia" w:ascii="仿宋_GB2312" w:hAnsi="Times New Roman" w:eastAsia="仿宋_GB2312" w:cs="Times New Roman"/>
          <w:lang w:val="en-US" w:eastAsia="zh-CN"/>
        </w:rPr>
      </w:pPr>
      <w:r>
        <w:rPr>
          <w:rFonts w:hint="eastAsia" w:ascii="仿宋_GB2312" w:hAnsi="Times New Roman" w:eastAsia="仿宋_GB2312" w:cs="Times New Roman"/>
          <w:lang w:val="en-US" w:eastAsia="zh-CN"/>
        </w:rPr>
        <w:t>结算款：项目竣工并经甲方验收合格，签署《竣工验收单》后，乙方办理结算送审手续。经审计并出具审计认定金额后，乙方出具审定额全额增值税发票(含税13%）60个工作日内，甲方支付到审计认定金额的90%。</w:t>
      </w:r>
    </w:p>
    <w:p w14:paraId="61B47404">
      <w:pPr>
        <w:widowControl w:val="0"/>
        <w:spacing w:line="360" w:lineRule="auto"/>
        <w:ind w:firstLine="420" w:firstLineChars="200"/>
        <w:rPr>
          <w:rFonts w:hint="eastAsia" w:ascii="仿宋_GB2312" w:hAnsi="Times New Roman" w:eastAsia="仿宋_GB2312" w:cs="Times New Roman"/>
          <w:lang w:val="en-US" w:eastAsia="zh-CN"/>
        </w:rPr>
      </w:pPr>
      <w:r>
        <w:rPr>
          <w:rFonts w:hint="eastAsia" w:ascii="仿宋_GB2312" w:hAnsi="Times New Roman" w:eastAsia="仿宋_GB2312" w:cs="Times New Roman"/>
          <w:lang w:val="en-US" w:eastAsia="zh-CN"/>
        </w:rPr>
        <w:t>质保金：本工程项目审计认定金额的10%作为质保金，质保期1年，自竣工验收合格之日起计算，质保期满且经甲方书面确认无质量问题后，乙方持甲方的书面证明办理质保金支付手续，甲方无息支付。</w:t>
      </w:r>
    </w:p>
    <w:p w14:paraId="1F76FC5B">
      <w:pPr>
        <w:widowControl w:val="0"/>
        <w:spacing w:line="360" w:lineRule="auto"/>
        <w:ind w:firstLine="420" w:firstLineChars="200"/>
        <w:rPr>
          <w:rFonts w:hint="eastAsia" w:ascii="仿宋_GB2312" w:hAnsi="Times New Roman" w:eastAsia="仿宋_GB2312" w:cs="Times New Roman"/>
        </w:rPr>
      </w:pPr>
      <w:r>
        <w:rPr>
          <w:rFonts w:ascii="仿宋_GB2312" w:hAnsi="Times New Roman" w:eastAsia="仿宋_GB2312" w:cs="Times New Roman"/>
        </w:rPr>
        <w:t>四、</w:t>
      </w:r>
      <w:r>
        <w:rPr>
          <w:rFonts w:hint="eastAsia" w:ascii="仿宋_GB2312" w:hAnsi="Times New Roman" w:eastAsia="仿宋_GB2312" w:cs="Times New Roman"/>
        </w:rPr>
        <w:t>投标人</w:t>
      </w:r>
      <w:r>
        <w:rPr>
          <w:rFonts w:ascii="仿宋_GB2312" w:hAnsi="Times New Roman" w:eastAsia="仿宋_GB2312" w:cs="Times New Roman"/>
        </w:rPr>
        <w:t>资格要求</w:t>
      </w:r>
    </w:p>
    <w:p w14:paraId="0CBA0E3D">
      <w:pPr>
        <w:widowControl w:val="0"/>
        <w:spacing w:line="360" w:lineRule="auto"/>
        <w:ind w:firstLine="420" w:firstLineChars="200"/>
        <w:rPr>
          <w:rFonts w:hint="eastAsia" w:ascii="仿宋_GB2312" w:hAnsi="Times New Roman" w:eastAsia="仿宋_GB2312" w:cs="Times New Roman"/>
        </w:rPr>
      </w:pPr>
      <w:r>
        <w:rPr>
          <w:rFonts w:ascii="仿宋_GB2312" w:hAnsi="Times New Roman" w:eastAsia="仿宋_GB2312" w:cs="Times New Roman"/>
        </w:rPr>
        <w:t>1.投标人在中国境内注册，具有营业执照、具有独立法人资格</w:t>
      </w:r>
      <w:r>
        <w:rPr>
          <w:rFonts w:hint="eastAsia" w:ascii="仿宋_GB2312" w:hAnsi="Times New Roman" w:eastAsia="仿宋_GB2312" w:cs="Times New Roman"/>
        </w:rPr>
        <w:t>；</w:t>
      </w:r>
    </w:p>
    <w:p w14:paraId="17393348">
      <w:pPr>
        <w:spacing w:line="398" w:lineRule="auto"/>
        <w:ind w:firstLine="420" w:firstLineChars="200"/>
        <w:rPr>
          <w:rFonts w:ascii="仿宋_GB2312" w:hAnsi="Times New Roman" w:eastAsia="仿宋_GB2312" w:cs="Times New Roman"/>
        </w:rPr>
      </w:pPr>
      <w:r>
        <w:rPr>
          <w:rFonts w:hint="eastAsia" w:ascii="仿宋_GB2312" w:hAnsi="Times New Roman" w:eastAsia="仿宋_GB2312" w:cs="Times New Roman"/>
        </w:rPr>
        <w:t>2.具有机电工程施工承包资质；具有相应工种的特种作业人员。</w:t>
      </w:r>
    </w:p>
    <w:p w14:paraId="130CBED7">
      <w:pPr>
        <w:spacing w:line="398" w:lineRule="auto"/>
        <w:ind w:firstLine="420" w:firstLineChars="200"/>
        <w:rPr>
          <w:rFonts w:ascii="仿宋_GB2312" w:hAnsi="Times New Roman" w:eastAsia="仿宋_GB2312" w:cs="Times New Roman"/>
        </w:rPr>
      </w:pPr>
      <w:r>
        <w:rPr>
          <w:rFonts w:hint="eastAsia" w:ascii="仿宋_GB2312" w:hAnsi="Times New Roman" w:eastAsia="仿宋_GB2312" w:cs="Times New Roman"/>
        </w:rPr>
        <w:t>3.投标人近</w:t>
      </w:r>
      <w:r>
        <w:rPr>
          <w:rFonts w:ascii="仿宋_GB2312" w:hAnsi="Times New Roman" w:eastAsia="仿宋_GB2312" w:cs="Times New Roman"/>
        </w:rPr>
        <w:t>3</w:t>
      </w:r>
      <w:r>
        <w:rPr>
          <w:rFonts w:hint="eastAsia" w:ascii="仿宋_GB2312" w:hAnsi="Times New Roman" w:eastAsia="仿宋_GB2312" w:cs="Times New Roman"/>
        </w:rPr>
        <w:t>年（202</w:t>
      </w:r>
      <w:r>
        <w:rPr>
          <w:rFonts w:hint="eastAsia" w:ascii="仿宋_GB2312" w:hAnsi="Times New Roman" w:eastAsia="仿宋_GB2312" w:cs="Times New Roman"/>
          <w:lang w:val="en-US" w:eastAsia="zh-CN"/>
        </w:rPr>
        <w:t>3</w:t>
      </w:r>
      <w:r>
        <w:rPr>
          <w:rFonts w:hint="eastAsia" w:ascii="仿宋_GB2312" w:hAnsi="Times New Roman" w:eastAsia="仿宋_GB2312" w:cs="Times New Roman"/>
        </w:rPr>
        <w:t>年01月01日-至今）</w:t>
      </w:r>
      <w:r>
        <w:rPr>
          <w:rFonts w:hint="eastAsia" w:ascii="仿宋_GB2312" w:hAnsi="Times New Roman" w:eastAsia="仿宋_GB2312" w:cs="Times New Roman"/>
          <w:lang w:val="en-US" w:eastAsia="zh-CN"/>
        </w:rPr>
        <w:t>快速堆积门</w:t>
      </w:r>
      <w:r>
        <w:rPr>
          <w:rFonts w:hint="eastAsia" w:ascii="仿宋_GB2312" w:hAnsi="Times New Roman" w:eastAsia="仿宋_GB2312" w:cs="Times New Roman"/>
        </w:rPr>
        <w:t>设备安装业绩不少于3项。</w:t>
      </w:r>
    </w:p>
    <w:p w14:paraId="4B145625">
      <w:pPr>
        <w:pStyle w:val="6"/>
        <w:ind w:left="0" w:leftChars="0" w:firstLine="480"/>
        <w:rPr>
          <w:rFonts w:hint="eastAsia" w:ascii="仿宋_GB2312" w:eastAsia="仿宋_GB2312"/>
        </w:rPr>
      </w:pPr>
      <w:r>
        <w:rPr>
          <w:rFonts w:hint="eastAsia" w:ascii="仿宋_GB2312" w:eastAsia="仿宋_GB2312"/>
        </w:rPr>
        <w:t xml:space="preserve">4.投标人具有履行合同必需的专业技术、资质能力及质量管理体系认证，提供有效期之内的证书。 </w:t>
      </w:r>
    </w:p>
    <w:p w14:paraId="06856A9A">
      <w:pPr>
        <w:widowControl w:val="0"/>
        <w:spacing w:line="360" w:lineRule="auto"/>
        <w:ind w:firstLine="420" w:firstLineChars="200"/>
        <w:rPr>
          <w:rFonts w:ascii="仿宋_GB2312" w:hAnsi="Times New Roman" w:eastAsia="仿宋_GB2312" w:cs="Times New Roman"/>
        </w:rPr>
      </w:pPr>
      <w:r>
        <w:rPr>
          <w:rFonts w:hint="eastAsia" w:ascii="仿宋_GB2312" w:hAnsi="Times New Roman" w:eastAsia="仿宋_GB2312" w:cs="Times New Roman"/>
        </w:rPr>
        <w:t>5.</w:t>
      </w:r>
      <w:r>
        <w:rPr>
          <w:rFonts w:ascii="仿宋_GB2312" w:hAnsi="Times New Roman" w:eastAsia="仿宋_GB2312" w:cs="Times New Roman"/>
        </w:rPr>
        <w:t>具有良好的企业信誉和健全的财务会计制度；</w:t>
      </w:r>
    </w:p>
    <w:p w14:paraId="56F2F046">
      <w:pPr>
        <w:widowControl w:val="0"/>
        <w:spacing w:line="360" w:lineRule="auto"/>
        <w:ind w:firstLine="420" w:firstLineChars="200"/>
        <w:rPr>
          <w:rFonts w:ascii="仿宋_GB2312" w:hAnsi="Times New Roman" w:eastAsia="仿宋_GB2312" w:cs="Times New Roman"/>
        </w:rPr>
      </w:pPr>
      <w:r>
        <w:rPr>
          <w:rFonts w:hint="eastAsia" w:ascii="仿宋_GB2312" w:hAnsi="Times New Roman" w:eastAsia="仿宋_GB2312" w:cs="Times New Roman"/>
        </w:rPr>
        <w:t>6.</w:t>
      </w:r>
      <w:r>
        <w:rPr>
          <w:rFonts w:ascii="仿宋_GB2312" w:hAnsi="Times New Roman" w:eastAsia="仿宋_GB2312" w:cs="Times New Roman"/>
        </w:rPr>
        <w:t>具有履行合同必需的设备、专业技术、资质能力；</w:t>
      </w:r>
    </w:p>
    <w:p w14:paraId="5A4CB00E">
      <w:pPr>
        <w:widowControl w:val="0"/>
        <w:spacing w:line="360" w:lineRule="auto"/>
        <w:ind w:firstLine="420" w:firstLineChars="200"/>
        <w:rPr>
          <w:rFonts w:ascii="仿宋_GB2312" w:hAnsi="Times New Roman" w:eastAsia="仿宋_GB2312" w:cs="Times New Roman"/>
        </w:rPr>
      </w:pPr>
      <w:r>
        <w:rPr>
          <w:rFonts w:hint="eastAsia" w:ascii="仿宋_GB2312" w:hAnsi="Times New Roman" w:eastAsia="仿宋_GB2312" w:cs="Times New Roman"/>
        </w:rPr>
        <w:t>7.</w:t>
      </w:r>
      <w:r>
        <w:rPr>
          <w:rFonts w:ascii="仿宋_GB2312" w:hAnsi="Times New Roman" w:eastAsia="仿宋_GB2312" w:cs="Times New Roman"/>
        </w:rPr>
        <w:t>有依法缴纳税收和社会保障金的良好纪录；</w:t>
      </w:r>
    </w:p>
    <w:p w14:paraId="150A62D0">
      <w:pPr>
        <w:spacing w:line="360" w:lineRule="auto"/>
        <w:ind w:firstLine="420" w:firstLineChars="200"/>
        <w:rPr>
          <w:rFonts w:ascii="仿宋_GB2312" w:hAnsi="Times New Roman" w:eastAsia="仿宋_GB2312" w:cs="Times New Roman"/>
        </w:rPr>
      </w:pPr>
      <w:r>
        <w:rPr>
          <w:rFonts w:hint="eastAsia" w:ascii="仿宋_GB2312" w:hAnsi="Times New Roman" w:eastAsia="仿宋_GB2312" w:cs="Times New Roman"/>
        </w:rPr>
        <w:t>8.投标人须遵守中华人民共和国有关法律、法规，无重大违法违约行为。“通过“信用中国”网站（www.creditchina.gov.cn）、中国政府招标网（www.ccgp.gov.cn）查询，未被列入失信被执行人、重大税收违法案件当事人、政府招标严重违法失信行为记录名单”，提供查询截屏。</w:t>
      </w:r>
    </w:p>
    <w:p w14:paraId="15A5FD85">
      <w:pPr>
        <w:widowControl w:val="0"/>
        <w:spacing w:line="360" w:lineRule="auto"/>
        <w:ind w:firstLine="420" w:firstLineChars="200"/>
        <w:rPr>
          <w:rFonts w:ascii="仿宋_GB2312" w:hAnsi="Times New Roman" w:eastAsia="仿宋_GB2312" w:cs="Times New Roman"/>
        </w:rPr>
      </w:pPr>
      <w:r>
        <w:rPr>
          <w:rFonts w:hint="eastAsia" w:ascii="仿宋_GB2312" w:hAnsi="Times New Roman" w:eastAsia="仿宋_GB2312" w:cs="Times New Roman"/>
        </w:rPr>
        <w:t>9.</w:t>
      </w:r>
      <w:r>
        <w:rPr>
          <w:rFonts w:ascii="仿宋_GB2312" w:hAnsi="Times New Roman" w:eastAsia="仿宋_GB2312" w:cs="Times New Roman"/>
        </w:rPr>
        <w:t>如有单位资料造假，一经发现，立即在网上公示，并永久取消</w:t>
      </w:r>
      <w:r>
        <w:rPr>
          <w:rFonts w:hint="eastAsia" w:ascii="仿宋_GB2312" w:hAnsi="Times New Roman" w:eastAsia="仿宋_GB2312" w:cs="Times New Roman"/>
        </w:rPr>
        <w:t>投标</w:t>
      </w:r>
      <w:r>
        <w:rPr>
          <w:rFonts w:ascii="仿宋_GB2312" w:hAnsi="Times New Roman" w:eastAsia="仿宋_GB2312" w:cs="Times New Roman"/>
        </w:rPr>
        <w:t>资格。</w:t>
      </w:r>
    </w:p>
    <w:p w14:paraId="049D609D">
      <w:pPr>
        <w:spacing w:line="360" w:lineRule="auto"/>
        <w:rPr>
          <w:rFonts w:hint="eastAsia" w:ascii="仿宋_GB2312" w:hAnsi="Times New Roman" w:eastAsia="仿宋_GB2312" w:cs="Times New Roman"/>
        </w:rPr>
      </w:pPr>
      <w:r>
        <w:rPr>
          <w:rFonts w:hint="eastAsia" w:ascii="仿宋_GB2312" w:hAnsi="Times New Roman" w:eastAsia="仿宋_GB2312" w:cs="Times New Roman"/>
        </w:rPr>
        <w:t>五、公告和报名</w:t>
      </w:r>
    </w:p>
    <w:p w14:paraId="3522953E">
      <w:pPr>
        <w:spacing w:line="360" w:lineRule="auto"/>
        <w:ind w:firstLine="420" w:firstLineChars="200"/>
        <w:rPr>
          <w:rFonts w:hint="eastAsia" w:ascii="仿宋_GB2312" w:hAnsi="Times New Roman" w:eastAsia="仿宋_GB2312" w:cs="Times New Roman"/>
        </w:rPr>
      </w:pPr>
      <w:r>
        <w:rPr>
          <w:rFonts w:hint="eastAsia" w:ascii="仿宋_GB2312" w:hAnsi="Times New Roman" w:eastAsia="仿宋_GB2312" w:cs="Times New Roman"/>
        </w:rPr>
        <w:t>1、报名方式：通过登录济钢集团有限公司阳光购销平台网上报名(不接受线下报名)，平台网址：</w:t>
      </w:r>
      <w:r>
        <w:rPr>
          <w:rFonts w:hint="eastAsia" w:ascii="仿宋_GB2312" w:hAnsi="Times New Roman" w:eastAsia="仿宋_GB2312" w:cs="Times New Roman"/>
        </w:rPr>
        <w:fldChar w:fldCharType="begin"/>
      </w:r>
      <w:r>
        <w:rPr>
          <w:rFonts w:hint="eastAsia" w:ascii="仿宋_GB2312" w:hAnsi="Times New Roman" w:eastAsia="仿宋_GB2312" w:cs="Times New Roman"/>
        </w:rPr>
        <w:instrText xml:space="preserve"> HYPERLINK "http://bidding.jigang.com.cn" </w:instrText>
      </w:r>
      <w:r>
        <w:rPr>
          <w:rFonts w:hint="eastAsia" w:ascii="仿宋_GB2312" w:hAnsi="Times New Roman" w:eastAsia="仿宋_GB2312" w:cs="Times New Roman"/>
        </w:rPr>
        <w:fldChar w:fldCharType="separate"/>
      </w:r>
      <w:r>
        <w:rPr>
          <w:rFonts w:hint="eastAsia" w:ascii="仿宋_GB2312" w:hAnsi="Times New Roman" w:eastAsia="仿宋_GB2312" w:cs="Times New Roman"/>
        </w:rPr>
        <w:t>http://bidding.jigang.com.cn</w:t>
      </w:r>
      <w:r>
        <w:rPr>
          <w:rFonts w:hint="eastAsia" w:ascii="仿宋_GB2312" w:hAnsi="Times New Roman" w:eastAsia="仿宋_GB2312" w:cs="Times New Roman"/>
        </w:rPr>
        <w:fldChar w:fldCharType="end"/>
      </w:r>
      <w:r>
        <w:rPr>
          <w:rFonts w:hint="eastAsia" w:ascii="仿宋_GB2312" w:hAnsi="Times New Roman" w:eastAsia="仿宋_GB2312" w:cs="Times New Roman"/>
        </w:rPr>
        <w:t xml:space="preserve">/； </w:t>
      </w:r>
    </w:p>
    <w:p w14:paraId="08564D1E">
      <w:pPr>
        <w:spacing w:line="360" w:lineRule="auto"/>
        <w:rPr>
          <w:rFonts w:hint="eastAsia" w:ascii="仿宋_GB2312" w:hAnsi="Times New Roman" w:eastAsia="仿宋_GB2312" w:cs="Times New Roman"/>
          <w:b/>
          <w:bCs/>
          <w:lang w:val="en-US" w:eastAsia="zh-CN"/>
        </w:rPr>
      </w:pPr>
      <w:r>
        <w:rPr>
          <w:rFonts w:hint="eastAsia" w:ascii="仿宋_GB2312" w:hAnsi="Times New Roman" w:eastAsia="仿宋_GB2312" w:cs="Times New Roman"/>
          <w:b/>
          <w:bCs/>
          <w:color w:val="FFFFFF" w:themeColor="background1"/>
          <w:highlight w:val="none"/>
          <w14:textFill>
            <w14:solidFill>
              <w14:schemeClr w14:val="bg1"/>
            </w14:solidFill>
          </w14:textFill>
        </w:rPr>
        <w:t>：</w:t>
      </w:r>
      <w:r>
        <w:rPr>
          <w:rFonts w:hint="eastAsia" w:ascii="仿宋_GB2312" w:hAnsi="Times New Roman" w:eastAsia="仿宋_GB2312" w:cs="Times New Roman"/>
          <w:b/>
          <w:bCs/>
          <w:lang w:val="en-US" w:eastAsia="zh-CN"/>
        </w:rPr>
        <w:t>公告时间及谈判时间：2026年3月25日-2026年3月27日</w:t>
      </w:r>
    </w:p>
    <w:p w14:paraId="159563F7">
      <w:pPr>
        <w:pStyle w:val="2"/>
        <w:numPr>
          <w:ilvl w:val="-1"/>
          <w:numId w:val="0"/>
        </w:numPr>
        <w:ind w:left="0" w:leftChars="0" w:firstLine="211" w:firstLineChars="100"/>
        <w:rPr>
          <w:rFonts w:hint="eastAsia" w:eastAsiaTheme="minorEastAsia"/>
          <w:lang w:eastAsia="zh"/>
        </w:rPr>
      </w:pPr>
      <w:r>
        <w:rPr>
          <w:rFonts w:hint="eastAsia" w:ascii="仿宋_GB2312" w:hAnsi="Times New Roman" w:eastAsia="仿宋_GB2312" w:cs="Times New Roman"/>
          <w:b/>
          <w:bCs/>
          <w:lang w:val="en-US" w:eastAsia="zh-CN"/>
        </w:rPr>
        <w:t>谈判时间：2026年3月30日</w:t>
      </w:r>
      <w:r>
        <w:rPr>
          <w:rFonts w:hint="eastAsia"/>
          <w:lang w:eastAsia="zh"/>
        </w:rPr>
        <w:t xml:space="preserve">  现场开标。</w:t>
      </w:r>
    </w:p>
    <w:p w14:paraId="5DBB167E">
      <w:pPr>
        <w:spacing w:line="360" w:lineRule="auto"/>
        <w:ind w:firstLine="420" w:firstLineChars="200"/>
        <w:rPr>
          <w:rFonts w:hint="eastAsia" w:ascii="仿宋_GB2312" w:hAnsi="Times New Roman" w:eastAsia="仿宋_GB2312" w:cs="Times New Roman"/>
          <w:lang w:val="zh-CN"/>
        </w:rPr>
      </w:pPr>
      <w:r>
        <w:rPr>
          <w:rFonts w:hint="eastAsia" w:ascii="仿宋_GB2312" w:hAnsi="Times New Roman" w:eastAsia="仿宋_GB2312" w:cs="Times New Roman"/>
          <w:lang w:val="zh-CN"/>
        </w:rPr>
        <w:t>七、参与保证金：人民币</w:t>
      </w:r>
      <w:r>
        <w:rPr>
          <w:rFonts w:hint="eastAsia" w:ascii="仿宋_GB2312" w:hAnsi="Times New Roman" w:eastAsia="仿宋_GB2312" w:cs="Times New Roman"/>
        </w:rPr>
        <w:t>壹</w:t>
      </w:r>
      <w:r>
        <w:rPr>
          <w:rFonts w:hint="eastAsia" w:ascii="仿宋_GB2312" w:hAnsi="Times New Roman" w:eastAsia="仿宋_GB2312" w:cs="Times New Roman"/>
          <w:lang w:val="zh-CN"/>
        </w:rPr>
        <w:t>仟元整；</w:t>
      </w:r>
    </w:p>
    <w:p w14:paraId="56D70EF1">
      <w:pPr>
        <w:spacing w:line="360" w:lineRule="auto"/>
        <w:ind w:firstLine="420" w:firstLineChars="200"/>
        <w:rPr>
          <w:rFonts w:hint="eastAsia" w:ascii="仿宋_GB2312" w:hAnsi="Times New Roman" w:eastAsia="仿宋_GB2312" w:cs="Times New Roman"/>
          <w:lang w:val="zh-CN"/>
        </w:rPr>
      </w:pPr>
      <w:r>
        <w:rPr>
          <w:rFonts w:hint="eastAsia" w:ascii="仿宋_GB2312" w:hAnsi="Times New Roman" w:eastAsia="仿宋_GB2312" w:cs="Times New Roman"/>
          <w:lang w:val="zh-CN"/>
        </w:rPr>
        <w:t>1、参与保证金最后缴纳日期：202</w:t>
      </w:r>
      <w:r>
        <w:rPr>
          <w:rFonts w:hint="eastAsia" w:ascii="仿宋_GB2312" w:hAnsi="Times New Roman" w:eastAsia="仿宋_GB2312" w:cs="Times New Roman"/>
          <w:lang w:val="en-US" w:eastAsia="zh-CN"/>
        </w:rPr>
        <w:t>6</w:t>
      </w:r>
      <w:r>
        <w:rPr>
          <w:rFonts w:hint="eastAsia" w:ascii="仿宋_GB2312" w:hAnsi="Times New Roman" w:eastAsia="仿宋_GB2312" w:cs="Times New Roman"/>
          <w:lang w:val="zh-CN"/>
        </w:rPr>
        <w:t>年</w:t>
      </w:r>
      <w:r>
        <w:rPr>
          <w:rFonts w:hint="eastAsia" w:ascii="仿宋_GB2312" w:hAnsi="Times New Roman" w:eastAsia="仿宋_GB2312" w:cs="Times New Roman"/>
          <w:lang w:val="en-US" w:eastAsia="zh-CN"/>
        </w:rPr>
        <w:t>3</w:t>
      </w:r>
      <w:r>
        <w:rPr>
          <w:rFonts w:hint="eastAsia" w:ascii="仿宋_GB2312" w:hAnsi="Times New Roman" w:eastAsia="仿宋_GB2312" w:cs="Times New Roman"/>
          <w:lang w:val="zh-CN"/>
        </w:rPr>
        <w:t>月</w:t>
      </w:r>
      <w:r>
        <w:rPr>
          <w:rFonts w:hint="eastAsia" w:ascii="仿宋_GB2312" w:hAnsi="Times New Roman" w:eastAsia="仿宋_GB2312" w:cs="Times New Roman"/>
          <w:lang w:val="en-US" w:eastAsia="zh-CN"/>
        </w:rPr>
        <w:t>29</w:t>
      </w:r>
      <w:r>
        <w:rPr>
          <w:rFonts w:hint="eastAsia" w:ascii="仿宋_GB2312" w:hAnsi="Times New Roman" w:eastAsia="仿宋_GB2312" w:cs="Times New Roman"/>
          <w:lang w:val="zh-CN"/>
        </w:rPr>
        <w:t>日</w:t>
      </w:r>
      <w:r>
        <w:rPr>
          <w:rFonts w:hint="eastAsia" w:ascii="仿宋_GB2312" w:hAnsi="Times New Roman" w:eastAsia="仿宋_GB2312" w:cs="Times New Roman"/>
        </w:rPr>
        <w:t>下</w:t>
      </w:r>
      <w:r>
        <w:rPr>
          <w:rFonts w:hint="eastAsia" w:ascii="仿宋_GB2312" w:hAnsi="Times New Roman" w:eastAsia="仿宋_GB2312" w:cs="Times New Roman"/>
          <w:lang w:val="zh-CN"/>
        </w:rPr>
        <w:t>午</w:t>
      </w:r>
      <w:r>
        <w:rPr>
          <w:rFonts w:hint="eastAsia" w:ascii="仿宋_GB2312" w:hAnsi="Times New Roman" w:eastAsia="仿宋_GB2312" w:cs="Times New Roman"/>
        </w:rPr>
        <w:t>17</w:t>
      </w:r>
      <w:r>
        <w:rPr>
          <w:rFonts w:hint="eastAsia" w:ascii="仿宋_GB2312" w:hAnsi="Times New Roman" w:eastAsia="仿宋_GB2312" w:cs="Times New Roman"/>
          <w:lang w:val="zh-CN"/>
        </w:rPr>
        <w:t>时。逾期缴纳的，参与将被拒绝。</w:t>
      </w:r>
    </w:p>
    <w:p w14:paraId="3ABE4F6C">
      <w:pPr>
        <w:spacing w:line="360" w:lineRule="auto"/>
        <w:ind w:firstLine="420" w:firstLineChars="200"/>
        <w:rPr>
          <w:rFonts w:hint="eastAsia" w:ascii="仿宋_GB2312" w:hAnsi="Times New Roman" w:eastAsia="仿宋_GB2312" w:cs="Times New Roman"/>
          <w:lang w:val="zh-CN"/>
        </w:rPr>
      </w:pPr>
      <w:r>
        <w:rPr>
          <w:rFonts w:hint="eastAsia" w:ascii="仿宋_GB2312" w:hAnsi="Times New Roman" w:eastAsia="仿宋_GB2312" w:cs="Times New Roman"/>
          <w:lang w:val="zh-CN"/>
        </w:rPr>
        <w:t>2、参与保证金应从参与人银行基本账户内转出或汇出，为方便退还不出具收据。交款注明招标编号及款项性质（参与保证金）。</w:t>
      </w:r>
    </w:p>
    <w:p w14:paraId="73FDE4DB">
      <w:pPr>
        <w:spacing w:line="360" w:lineRule="auto"/>
        <w:ind w:firstLine="420" w:firstLineChars="200"/>
        <w:rPr>
          <w:rFonts w:hint="eastAsia" w:ascii="仿宋_GB2312" w:hAnsi="Times New Roman" w:eastAsia="仿宋_GB2312" w:cs="Times New Roman"/>
          <w:lang w:val="zh-CN"/>
        </w:rPr>
      </w:pPr>
      <w:r>
        <w:rPr>
          <w:rFonts w:hint="eastAsia" w:ascii="仿宋_GB2312" w:hAnsi="Times New Roman" w:eastAsia="仿宋_GB2312" w:cs="Times New Roman"/>
          <w:lang w:val="zh-CN"/>
        </w:rPr>
        <w:t>3、缴纳参与保证金账户信息：</w:t>
      </w:r>
    </w:p>
    <w:p w14:paraId="0FD92523">
      <w:pPr>
        <w:spacing w:line="360" w:lineRule="auto"/>
        <w:ind w:firstLine="420" w:firstLineChars="200"/>
        <w:rPr>
          <w:rFonts w:hint="eastAsia" w:ascii="仿宋_GB2312" w:hAnsi="Times New Roman" w:eastAsia="仿宋_GB2312" w:cs="Times New Roman"/>
          <w:lang w:val="zh-CN"/>
        </w:rPr>
      </w:pPr>
      <w:r>
        <w:rPr>
          <w:rFonts w:hint="eastAsia" w:ascii="仿宋_GB2312" w:hAnsi="Times New Roman" w:eastAsia="仿宋_GB2312" w:cs="Times New Roman"/>
          <w:lang w:val="zh-CN"/>
        </w:rPr>
        <w:t xml:space="preserve">  名  称：济南鲍德冶金石灰石有限公司</w:t>
      </w:r>
    </w:p>
    <w:p w14:paraId="5380C50C">
      <w:pPr>
        <w:spacing w:line="360" w:lineRule="auto"/>
        <w:ind w:firstLine="420" w:firstLineChars="200"/>
        <w:rPr>
          <w:rFonts w:hint="eastAsia" w:ascii="仿宋_GB2312" w:hAnsi="Times New Roman" w:eastAsia="仿宋_GB2312" w:cs="Times New Roman"/>
          <w:lang w:val="zh-TW"/>
        </w:rPr>
      </w:pPr>
      <w:r>
        <w:rPr>
          <w:rFonts w:hint="eastAsia" w:ascii="仿宋_GB2312" w:hAnsi="Times New Roman" w:eastAsia="仿宋_GB2312" w:cs="Times New Roman"/>
          <w:lang w:val="zh-CN"/>
        </w:rPr>
        <w:t xml:space="preserve"> </w:t>
      </w:r>
      <w:r>
        <w:rPr>
          <w:rFonts w:hint="eastAsia" w:ascii="仿宋_GB2312" w:hAnsi="Times New Roman" w:eastAsia="仿宋_GB2312" w:cs="Times New Roman"/>
          <w:lang w:val="zh-TW"/>
        </w:rPr>
        <w:t xml:space="preserve">  </w:t>
      </w:r>
      <w:r>
        <w:rPr>
          <w:rFonts w:hint="eastAsia" w:ascii="仿宋_GB2312" w:hAnsi="Times New Roman" w:eastAsia="仿宋_GB2312" w:cs="Times New Roman"/>
        </w:rPr>
        <w:t xml:space="preserve">   </w:t>
      </w:r>
      <w:r>
        <w:rPr>
          <w:rFonts w:hint="eastAsia" w:ascii="仿宋_GB2312" w:hAnsi="Times New Roman" w:eastAsia="仿宋_GB2312" w:cs="Times New Roman"/>
          <w:lang w:val="zh-TW"/>
        </w:rPr>
        <w:t>开户行：</w:t>
      </w:r>
      <w:r>
        <w:rPr>
          <w:rFonts w:hint="eastAsia" w:ascii="仿宋_GB2312" w:hAnsi="Times New Roman" w:eastAsia="仿宋_GB2312" w:cs="Times New Roman"/>
        </w:rPr>
        <w:t>中国农业银行股份有限公司济南埠村支行</w:t>
      </w:r>
    </w:p>
    <w:p w14:paraId="19FCE8AF">
      <w:pPr>
        <w:spacing w:line="360" w:lineRule="auto"/>
        <w:ind w:firstLine="420" w:firstLineChars="200"/>
        <w:rPr>
          <w:rFonts w:hint="eastAsia" w:ascii="仿宋_GB2312" w:hAnsi="Times New Roman" w:eastAsia="仿宋_GB2312" w:cs="Times New Roman"/>
        </w:rPr>
      </w:pPr>
      <w:r>
        <w:rPr>
          <w:rFonts w:hint="eastAsia" w:ascii="仿宋_GB2312" w:hAnsi="Times New Roman" w:eastAsia="仿宋_GB2312" w:cs="Times New Roman"/>
        </w:rPr>
        <w:t>账  号：15137301040002766</w:t>
      </w:r>
    </w:p>
    <w:p w14:paraId="6E76BC0E">
      <w:pPr>
        <w:spacing w:line="360" w:lineRule="auto"/>
        <w:ind w:firstLine="420" w:firstLineChars="200"/>
        <w:rPr>
          <w:rFonts w:hint="eastAsia" w:ascii="仿宋_GB2312" w:hAnsi="Times New Roman" w:eastAsia="仿宋_GB2312" w:cs="Times New Roman"/>
          <w:lang w:val="zh-CN"/>
        </w:rPr>
      </w:pPr>
      <w:r>
        <w:rPr>
          <w:rFonts w:hint="eastAsia" w:ascii="仿宋_GB2312" w:hAnsi="Times New Roman" w:eastAsia="仿宋_GB2312" w:cs="Times New Roman"/>
        </w:rPr>
        <w:t>行  号：103451013618</w:t>
      </w:r>
    </w:p>
    <w:p w14:paraId="288238DD">
      <w:pPr>
        <w:spacing w:line="360" w:lineRule="auto"/>
        <w:ind w:firstLine="420" w:firstLineChars="200"/>
        <w:rPr>
          <w:rFonts w:hint="eastAsia" w:ascii="仿宋_GB2312" w:hAnsi="Times New Roman" w:eastAsia="仿宋_GB2312" w:cs="Times New Roman"/>
          <w:lang w:val="zh-CN"/>
        </w:rPr>
      </w:pPr>
      <w:r>
        <w:rPr>
          <w:rFonts w:hint="eastAsia" w:ascii="仿宋_GB2312" w:hAnsi="Times New Roman" w:eastAsia="仿宋_GB2312" w:cs="Times New Roman"/>
          <w:lang w:val="zh-CN"/>
        </w:rPr>
        <w:t>4、参与保证金在合同签订后</w:t>
      </w:r>
      <w:r>
        <w:rPr>
          <w:rFonts w:hint="eastAsia" w:ascii="仿宋_GB2312" w:hAnsi="Times New Roman" w:eastAsia="仿宋_GB2312" w:cs="Times New Roman"/>
          <w:lang w:val="en-US" w:eastAsia="zh-CN"/>
        </w:rPr>
        <w:t>30</w:t>
      </w:r>
      <w:r>
        <w:rPr>
          <w:rFonts w:hint="eastAsia" w:ascii="仿宋_GB2312" w:hAnsi="Times New Roman" w:eastAsia="仿宋_GB2312" w:cs="Times New Roman"/>
          <w:lang w:val="zh-CN"/>
        </w:rPr>
        <w:t>日内原账户无息退还。</w:t>
      </w:r>
    </w:p>
    <w:p w14:paraId="635EC218">
      <w:pPr>
        <w:spacing w:line="360" w:lineRule="auto"/>
        <w:ind w:firstLine="420" w:firstLineChars="200"/>
        <w:rPr>
          <w:rFonts w:hint="eastAsia" w:ascii="仿宋_GB2312" w:hAnsi="Times New Roman" w:eastAsia="仿宋_GB2312" w:cs="Times New Roman"/>
          <w:lang w:val="zh-CN"/>
        </w:rPr>
      </w:pPr>
      <w:r>
        <w:rPr>
          <w:rFonts w:hint="eastAsia" w:ascii="仿宋_GB2312" w:hAnsi="Times New Roman" w:eastAsia="仿宋_GB2312" w:cs="Times New Roman"/>
          <w:lang w:val="zh-CN"/>
        </w:rPr>
        <w:t>5、在递交参与文件时，携带参与保证金交款回单，以备查验。</w:t>
      </w:r>
    </w:p>
    <w:p w14:paraId="381B9C1E">
      <w:pPr>
        <w:pStyle w:val="2"/>
        <w:numPr>
          <w:ilvl w:val="0"/>
          <w:numId w:val="0"/>
        </w:numPr>
        <w:ind w:left="105" w:leftChars="0"/>
        <w:rPr>
          <w:rFonts w:hint="eastAsia"/>
        </w:rPr>
      </w:pPr>
    </w:p>
    <w:p w14:paraId="2D70751B">
      <w:pPr>
        <w:spacing w:line="360" w:lineRule="auto"/>
        <w:rPr>
          <w:rFonts w:hint="eastAsia" w:ascii="仿宋_GB2312" w:hAnsi="Times New Roman" w:eastAsia="仿宋_GB2312" w:cs="Times New Roman"/>
        </w:rPr>
      </w:pPr>
      <w:r>
        <w:rPr>
          <w:rFonts w:hint="eastAsia" w:ascii="仿宋_GB2312" w:hAnsi="Times New Roman" w:eastAsia="仿宋_GB2312" w:cs="Times New Roman"/>
        </w:rPr>
        <w:t>八、招标文件的获取方式</w:t>
      </w:r>
    </w:p>
    <w:p w14:paraId="5D70E6D7">
      <w:pPr>
        <w:spacing w:line="360" w:lineRule="auto"/>
        <w:ind w:firstLine="420" w:firstLineChars="200"/>
        <w:rPr>
          <w:rFonts w:ascii="仿宋_GB2312" w:hAnsi="Times New Roman" w:eastAsia="仿宋_GB2312" w:cs="Times New Roman"/>
        </w:rPr>
      </w:pPr>
      <w:r>
        <w:rPr>
          <w:rFonts w:hint="eastAsia" w:ascii="仿宋_GB2312" w:hAnsi="Times New Roman" w:eastAsia="仿宋_GB2312" w:cs="Times New Roman"/>
        </w:rPr>
        <w:t>1、获取方式：凡有意参加本次招标的投标人，在公告期内登陆：济钢集团有限公司阳光购销平台</w:t>
      </w:r>
      <w:r>
        <w:rPr>
          <w:rFonts w:hint="eastAsia" w:ascii="仿宋_GB2312" w:hAnsi="Times New Roman" w:eastAsia="仿宋_GB2312" w:cs="Times New Roman"/>
        </w:rPr>
        <w:fldChar w:fldCharType="begin"/>
      </w:r>
      <w:r>
        <w:rPr>
          <w:rFonts w:hint="eastAsia" w:ascii="仿宋_GB2312" w:hAnsi="Times New Roman" w:eastAsia="仿宋_GB2312" w:cs="Times New Roman"/>
        </w:rPr>
        <w:instrText xml:space="preserve"> HYPERLINK "http://bidding.jigang.com.cn" </w:instrText>
      </w:r>
      <w:r>
        <w:rPr>
          <w:rFonts w:hint="eastAsia" w:ascii="仿宋_GB2312" w:hAnsi="Times New Roman" w:eastAsia="仿宋_GB2312" w:cs="Times New Roman"/>
        </w:rPr>
        <w:fldChar w:fldCharType="separate"/>
      </w:r>
      <w:r>
        <w:rPr>
          <w:rFonts w:hint="eastAsia" w:ascii="仿宋_GB2312" w:hAnsi="Times New Roman" w:eastAsia="仿宋_GB2312" w:cs="Times New Roman"/>
        </w:rPr>
        <w:t>http://bidding.jigang.com.cn</w:t>
      </w:r>
      <w:r>
        <w:rPr>
          <w:rFonts w:hint="eastAsia" w:ascii="仿宋_GB2312" w:hAnsi="Times New Roman" w:eastAsia="仿宋_GB2312" w:cs="Times New Roman"/>
        </w:rPr>
        <w:fldChar w:fldCharType="end"/>
      </w:r>
      <w:r>
        <w:rPr>
          <w:rFonts w:hint="eastAsia" w:ascii="仿宋_GB2312" w:hAnsi="Times New Roman" w:eastAsia="仿宋_GB2312" w:cs="Times New Roman"/>
        </w:rPr>
        <w:t>/ ，注册用户成功后，须修改初始密码，重新登录后报名，报名成功后即可下载招标文件</w:t>
      </w:r>
      <w:r>
        <w:rPr>
          <w:rFonts w:ascii="仿宋_GB2312" w:hAnsi="Times New Roman" w:eastAsia="仿宋_GB2312" w:cs="Times New Roman"/>
        </w:rPr>
        <w:t xml:space="preserve">； </w:t>
      </w:r>
    </w:p>
    <w:p w14:paraId="229B240E">
      <w:pPr>
        <w:spacing w:line="360" w:lineRule="auto"/>
        <w:ind w:firstLine="420" w:firstLineChars="200"/>
        <w:rPr>
          <w:rFonts w:hint="eastAsia" w:ascii="仿宋_GB2312" w:hAnsi="Times New Roman" w:eastAsia="仿宋_GB2312" w:cs="Times New Roman"/>
        </w:rPr>
      </w:pPr>
      <w:r>
        <w:rPr>
          <w:rFonts w:ascii="仿宋_GB2312" w:hAnsi="Times New Roman" w:eastAsia="仿宋_GB2312" w:cs="Times New Roman"/>
        </w:rPr>
        <w:t>2、售价：报名时自动提示</w:t>
      </w:r>
      <w:r>
        <w:rPr>
          <w:rFonts w:hint="eastAsia" w:ascii="仿宋_GB2312" w:hAnsi="Times New Roman" w:eastAsia="仿宋_GB2312" w:cs="Times New Roman"/>
        </w:rPr>
        <w:t>，随投标</w:t>
      </w:r>
      <w:r>
        <w:rPr>
          <w:rFonts w:ascii="仿宋_GB2312" w:hAnsi="Times New Roman" w:eastAsia="仿宋_GB2312" w:cs="Times New Roman"/>
        </w:rPr>
        <w:t>保证金一同转账</w:t>
      </w:r>
      <w:r>
        <w:rPr>
          <w:rFonts w:hint="eastAsia" w:ascii="仿宋_GB2312" w:hAnsi="Times New Roman" w:eastAsia="仿宋_GB2312" w:cs="Times New Roman"/>
        </w:rPr>
        <w:t>，售后不退。</w:t>
      </w:r>
    </w:p>
    <w:p w14:paraId="7FE6D2BA">
      <w:pPr>
        <w:spacing w:line="360" w:lineRule="auto"/>
        <w:rPr>
          <w:rFonts w:hint="eastAsia" w:ascii="仿宋_GB2312" w:hAnsi="Times New Roman" w:eastAsia="仿宋_GB2312" w:cs="Times New Roman"/>
        </w:rPr>
      </w:pPr>
      <w:r>
        <w:rPr>
          <w:rFonts w:hint="eastAsia" w:ascii="仿宋_GB2312" w:hAnsi="Times New Roman" w:eastAsia="仿宋_GB2312" w:cs="Times New Roman"/>
        </w:rPr>
        <w:t>九、资格审查</w:t>
      </w:r>
    </w:p>
    <w:p w14:paraId="2F222366">
      <w:pPr>
        <w:spacing w:line="360" w:lineRule="auto"/>
        <w:ind w:firstLine="420" w:firstLineChars="200"/>
        <w:rPr>
          <w:rFonts w:hint="eastAsia" w:ascii="仿宋_GB2312" w:hAnsi="Times New Roman" w:eastAsia="仿宋_GB2312" w:cs="Times New Roman"/>
        </w:rPr>
      </w:pPr>
      <w:r>
        <w:rPr>
          <w:rFonts w:hint="eastAsia" w:ascii="仿宋_GB2312" w:hAnsi="Times New Roman" w:eastAsia="仿宋_GB2312" w:cs="Times New Roman"/>
        </w:rPr>
        <w:t>资格后审，不接受联合体。</w:t>
      </w:r>
    </w:p>
    <w:p w14:paraId="5499B410">
      <w:pPr>
        <w:spacing w:line="360" w:lineRule="auto"/>
        <w:rPr>
          <w:rFonts w:hint="eastAsia" w:ascii="仿宋_GB2312" w:hAnsi="Times New Roman" w:eastAsia="仿宋_GB2312" w:cs="Times New Roman"/>
        </w:rPr>
      </w:pPr>
      <w:r>
        <w:rPr>
          <w:rFonts w:hint="eastAsia" w:ascii="仿宋_GB2312" w:hAnsi="Times New Roman" w:eastAsia="仿宋_GB2312" w:cs="Times New Roman"/>
        </w:rPr>
        <w:t>十、招标人的名称、地址和联系人</w:t>
      </w:r>
    </w:p>
    <w:p w14:paraId="7A8FA3A1">
      <w:pPr>
        <w:widowControl w:val="0"/>
        <w:spacing w:line="360" w:lineRule="auto"/>
        <w:rPr>
          <w:rFonts w:ascii="仿宋_GB2312" w:hAnsi="Times New Roman" w:eastAsia="仿宋_GB2312" w:cs="Times New Roman"/>
        </w:rPr>
      </w:pPr>
      <w:r>
        <w:rPr>
          <w:rFonts w:ascii="仿宋_GB2312" w:hAnsi="Times New Roman" w:eastAsia="仿宋_GB2312" w:cs="Times New Roman"/>
        </w:rPr>
        <w:t>1、招标人的名称： 济南鲍德冶金石灰石有限公司</w:t>
      </w:r>
    </w:p>
    <w:p w14:paraId="7E8B47BB">
      <w:pPr>
        <w:widowControl w:val="0"/>
        <w:spacing w:line="360" w:lineRule="auto"/>
        <w:rPr>
          <w:rFonts w:ascii="仿宋_GB2312" w:hAnsi="Times New Roman" w:eastAsia="仿宋_GB2312" w:cs="Times New Roman"/>
        </w:rPr>
      </w:pPr>
      <w:r>
        <w:rPr>
          <w:rFonts w:ascii="仿宋_GB2312" w:hAnsi="Times New Roman" w:eastAsia="仿宋_GB2312" w:cs="Times New Roman"/>
        </w:rPr>
        <w:t>2、招标人的地址：山东省济南市章丘区埠村街道</w:t>
      </w:r>
    </w:p>
    <w:p w14:paraId="0E6CE4CB">
      <w:pPr>
        <w:widowControl w:val="0"/>
        <w:spacing w:line="360" w:lineRule="auto"/>
        <w:rPr>
          <w:rFonts w:ascii="仿宋_GB2312" w:hAnsi="Times New Roman" w:eastAsia="仿宋_GB2312" w:cs="Times New Roman"/>
        </w:rPr>
      </w:pPr>
      <w:r>
        <w:rPr>
          <w:rFonts w:ascii="仿宋_GB2312" w:hAnsi="Times New Roman" w:eastAsia="仿宋_GB2312" w:cs="Times New Roman"/>
        </w:rPr>
        <w:t>3、招标联系人：郑女士，联系电话：0531-83719629  15098838165。</w:t>
      </w:r>
    </w:p>
    <w:p w14:paraId="5069D3D3">
      <w:pPr>
        <w:widowControl w:val="0"/>
        <w:spacing w:line="360" w:lineRule="auto"/>
        <w:rPr>
          <w:rFonts w:ascii="仿宋_GB2312" w:hAnsi="Times New Roman" w:eastAsia="仿宋_GB2312" w:cs="Times New Roman"/>
        </w:rPr>
      </w:pPr>
      <w:r>
        <w:rPr>
          <w:rFonts w:ascii="仿宋_GB2312" w:hAnsi="Times New Roman" w:eastAsia="仿宋_GB2312" w:cs="Times New Roman"/>
        </w:rPr>
        <w:t>4、技术咨询人：</w:t>
      </w:r>
      <w:r>
        <w:rPr>
          <w:rFonts w:hint="eastAsia" w:ascii="仿宋_GB2312" w:hAnsi="Times New Roman" w:eastAsia="仿宋_GB2312" w:cs="Times New Roman"/>
          <w:lang w:val="en-US" w:eastAsia="zh-CN"/>
        </w:rPr>
        <w:t>段</w:t>
      </w:r>
      <w:r>
        <w:rPr>
          <w:rFonts w:ascii="仿宋_GB2312" w:hAnsi="Times New Roman" w:eastAsia="仿宋_GB2312" w:cs="Times New Roman"/>
        </w:rPr>
        <w:t>先生，联系电话：</w:t>
      </w:r>
      <w:r>
        <w:rPr>
          <w:rFonts w:hint="eastAsia" w:ascii="仿宋_GB2312" w:hAnsi="Times New Roman" w:eastAsia="仿宋_GB2312" w:cs="Times New Roman"/>
          <w:lang w:val="en-US" w:eastAsia="zh-CN"/>
        </w:rPr>
        <w:t>18563418658</w:t>
      </w:r>
      <w:r>
        <w:rPr>
          <w:rFonts w:ascii="仿宋_GB2312" w:hAnsi="Times New Roman" w:eastAsia="仿宋_GB2312" w:cs="Times New Roman"/>
        </w:rPr>
        <w:t>。</w:t>
      </w:r>
    </w:p>
    <w:p w14:paraId="0DCA705E">
      <w:pPr>
        <w:widowControl w:val="0"/>
        <w:spacing w:line="360" w:lineRule="auto"/>
        <w:rPr>
          <w:rFonts w:ascii="仿宋_GB2312" w:hAnsi="Times New Roman" w:eastAsia="仿宋_GB2312" w:cs="Times New Roman"/>
        </w:rPr>
      </w:pPr>
      <w:r>
        <w:rPr>
          <w:rFonts w:hint="eastAsia" w:ascii="仿宋_GB2312" w:hAnsi="Times New Roman" w:eastAsia="仿宋_GB2312" w:cs="Times New Roman"/>
        </w:rPr>
        <w:t>十一</w:t>
      </w:r>
      <w:r>
        <w:rPr>
          <w:rFonts w:ascii="仿宋_GB2312" w:hAnsi="Times New Roman" w:eastAsia="仿宋_GB2312" w:cs="Times New Roman"/>
        </w:rPr>
        <w:t>、</w:t>
      </w:r>
      <w:r>
        <w:rPr>
          <w:rFonts w:hint="eastAsia" w:ascii="仿宋_GB2312" w:hAnsi="Times New Roman" w:eastAsia="仿宋_GB2312" w:cs="Times New Roman"/>
        </w:rPr>
        <w:t>安全要求</w:t>
      </w:r>
    </w:p>
    <w:p w14:paraId="7EB4559F">
      <w:pPr>
        <w:widowControl w:val="0"/>
        <w:spacing w:line="360" w:lineRule="auto"/>
        <w:ind w:firstLine="420" w:firstLineChars="200"/>
        <w:rPr>
          <w:rFonts w:hint="eastAsia" w:ascii="仿宋_GB2312" w:hAnsi="Times New Roman" w:eastAsia="仿宋_GB2312" w:cs="Times New Roman"/>
        </w:rPr>
      </w:pPr>
      <w:r>
        <w:rPr>
          <w:rFonts w:hint="eastAsia" w:ascii="仿宋_GB2312" w:hAnsi="Times New Roman" w:eastAsia="仿宋_GB2312" w:cs="Times New Roman"/>
        </w:rPr>
        <w:t>参加投标的</w:t>
      </w:r>
      <w:r>
        <w:rPr>
          <w:rFonts w:ascii="仿宋_GB2312" w:hAnsi="Times New Roman" w:eastAsia="仿宋_GB2312" w:cs="Times New Roman"/>
        </w:rPr>
        <w:t>人员在济钢集团有限公司的一切活动，必须遵守济钢集团有限公司的安全规定。</w:t>
      </w:r>
      <w:r>
        <w:rPr>
          <w:rFonts w:hint="eastAsia" w:ascii="仿宋_GB2312" w:hAnsi="Times New Roman" w:eastAsia="仿宋_GB2312" w:cs="Times New Roman"/>
        </w:rPr>
        <w:t>需要</w:t>
      </w:r>
      <w:r>
        <w:rPr>
          <w:rFonts w:ascii="仿宋_GB2312" w:hAnsi="Times New Roman" w:eastAsia="仿宋_GB2312" w:cs="Times New Roman"/>
        </w:rPr>
        <w:t>现场</w:t>
      </w:r>
      <w:r>
        <w:rPr>
          <w:rFonts w:hint="eastAsia" w:ascii="仿宋_GB2312" w:hAnsi="Times New Roman" w:eastAsia="仿宋_GB2312" w:cs="Times New Roman"/>
        </w:rPr>
        <w:t>踏勘时，</w:t>
      </w:r>
      <w:r>
        <w:rPr>
          <w:rFonts w:ascii="仿宋_GB2312" w:hAnsi="Times New Roman" w:eastAsia="仿宋_GB2312" w:cs="Times New Roman"/>
        </w:rPr>
        <w:t>必须遵守安全管理规定，服从现场</w:t>
      </w:r>
      <w:r>
        <w:rPr>
          <w:rFonts w:hint="eastAsia" w:ascii="仿宋_GB2312" w:hAnsi="Times New Roman" w:eastAsia="仿宋_GB2312" w:cs="Times New Roman"/>
        </w:rPr>
        <w:t>人员</w:t>
      </w:r>
      <w:r>
        <w:rPr>
          <w:rFonts w:ascii="仿宋_GB2312" w:hAnsi="Times New Roman" w:eastAsia="仿宋_GB2312" w:cs="Times New Roman"/>
        </w:rPr>
        <w:t>指挥</w:t>
      </w:r>
      <w:r>
        <w:rPr>
          <w:rFonts w:hint="eastAsia" w:ascii="仿宋_GB2312" w:hAnsi="Times New Roman" w:eastAsia="仿宋_GB2312" w:cs="Times New Roman"/>
        </w:rPr>
        <w:t>。</w:t>
      </w:r>
    </w:p>
    <w:p w14:paraId="5E9ACB01">
      <w:pPr>
        <w:pStyle w:val="6"/>
        <w:ind w:left="0" w:leftChars="0" w:firstLine="0" w:firstLineChars="0"/>
        <w:rPr>
          <w:rFonts w:ascii="仿宋_GB2312" w:eastAsia="仿宋_GB2312"/>
        </w:rPr>
      </w:pPr>
      <w:r>
        <w:rPr>
          <w:rFonts w:hint="eastAsia" w:ascii="仿宋_GB2312" w:eastAsia="仿宋_GB2312"/>
        </w:rPr>
        <w:t>十二、公告中的内容和要求以最终的招标文件为准。</w:t>
      </w:r>
    </w:p>
    <w:p w14:paraId="6AB73F2D">
      <w:pPr>
        <w:widowControl w:val="0"/>
        <w:spacing w:line="360" w:lineRule="auto"/>
        <w:ind w:firstLine="4410" w:firstLineChars="2100"/>
        <w:rPr>
          <w:rFonts w:hint="eastAsia" w:ascii="仿宋_GB2312" w:hAnsi="Times New Roman" w:eastAsia="仿宋_GB2312" w:cs="Times New Roman"/>
        </w:rPr>
      </w:pPr>
      <w:r>
        <w:rPr>
          <w:rFonts w:ascii="仿宋_GB2312" w:hAnsi="Times New Roman" w:eastAsia="仿宋_GB2312" w:cs="Times New Roman"/>
        </w:rPr>
        <w:t>济南鲍德冶金石灰石有限</w:t>
      </w:r>
      <w:r>
        <w:rPr>
          <w:rFonts w:hint="eastAsia" w:ascii="仿宋_GB2312" w:hAnsi="Times New Roman" w:eastAsia="仿宋_GB2312" w:cs="Times New Roman"/>
        </w:rPr>
        <w:t>公司</w:t>
      </w:r>
    </w:p>
    <w:p w14:paraId="06D92D0B">
      <w:pPr>
        <w:widowControl w:val="0"/>
        <w:spacing w:line="360" w:lineRule="auto"/>
        <w:ind w:firstLine="4830" w:firstLineChars="2300"/>
        <w:rPr>
          <w:rFonts w:hint="default" w:ascii="仿宋_GB2312" w:hAnsi="Times New Roman" w:eastAsia="仿宋_GB2312" w:cs="Times New Roman"/>
          <w:lang w:val="en-US" w:eastAsia="zh-CN"/>
        </w:rPr>
      </w:pPr>
      <w:r>
        <w:rPr>
          <w:rFonts w:hint="eastAsia" w:ascii="仿宋_GB2312" w:hAnsi="Times New Roman" w:eastAsia="仿宋_GB2312" w:cs="Times New Roman"/>
          <w:lang w:val="en-US" w:eastAsia="zh-CN"/>
        </w:rPr>
        <w:t>2026年3月25日</w:t>
      </w:r>
    </w:p>
    <w:p w14:paraId="52342E44">
      <w:r>
        <w:rPr>
          <w:rFonts w:hint="eastAsia"/>
          <w:b/>
          <w:bCs/>
          <w:sz w:val="36"/>
          <w:szCs w:val="36"/>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8A761">
    <w:pPr>
      <w:pStyle w:val="4"/>
      <w:jc w:val="center"/>
    </w:pPr>
    <w:r>
      <w:fldChar w:fldCharType="begin"/>
    </w:r>
    <w:r>
      <w:rPr>
        <w:rStyle w:val="9"/>
      </w:rPr>
      <w:instrText xml:space="preserve"> PAGE </w:instrText>
    </w:r>
    <w:r>
      <w:fldChar w:fldCharType="separate"/>
    </w:r>
    <w:r>
      <w:rPr>
        <w:rStyle w:val="9"/>
      </w:rPr>
      <w:t>- 3 -</w:t>
    </w:r>
    <w:r>
      <w:fldChar w:fldCharType="end"/>
    </w:r>
  </w:p>
  <w:p w14:paraId="5EFA7A57">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13A4B">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5227FF"/>
    <w:rsid w:val="485227FF"/>
    <w:rsid w:val="74E01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table of authorities"/>
    <w:basedOn w:val="1"/>
    <w:next w:val="1"/>
    <w:unhideWhenUsed/>
    <w:qFormat/>
    <w:uiPriority w:val="0"/>
    <w:pPr>
      <w:ind w:left="420" w:leftChars="200"/>
    </w:pPr>
    <w:rPr>
      <w:rFonts w:hint="eastAsia" w:cs="Times New Roman"/>
    </w:rPr>
  </w:style>
  <w:style w:type="paragraph" w:styleId="3">
    <w:name w:val="Body Text Indent"/>
    <w:basedOn w:val="1"/>
    <w:qFormat/>
    <w:uiPriority w:val="99"/>
    <w:pPr>
      <w:widowControl w:val="0"/>
      <w:spacing w:after="120"/>
      <w:ind w:left="420" w:leftChars="200"/>
      <w:jc w:val="both"/>
    </w:pPr>
    <w:rPr>
      <w:rFonts w:ascii="Times New Roman" w:hAnsi="Times New Roman" w:cs="Times New Roman"/>
    </w:rPr>
  </w:style>
  <w:style w:type="paragraph" w:styleId="4">
    <w:name w:val="footer"/>
    <w:basedOn w:val="1"/>
    <w:unhideWhenUsed/>
    <w:qFormat/>
    <w:uiPriority w:val="99"/>
    <w:pPr>
      <w:tabs>
        <w:tab w:val="center" w:pos="4153"/>
        <w:tab w:val="right" w:pos="8306"/>
      </w:tabs>
      <w:snapToGrid w:val="0"/>
      <w:jc w:val="left"/>
    </w:pPr>
    <w:rPr>
      <w:rFonts w:ascii="Calibri" w:hAnsi="Calibri" w:cs="Times New Roman"/>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rFonts w:ascii="Calibri" w:hAnsi="Calibri" w:cs="Times New Roman"/>
      <w:sz w:val="18"/>
      <w:szCs w:val="18"/>
    </w:rPr>
  </w:style>
  <w:style w:type="paragraph" w:styleId="6">
    <w:name w:val="Body Text First Indent 2"/>
    <w:basedOn w:val="3"/>
    <w:qFormat/>
    <w:uiPriority w:val="99"/>
    <w:pPr>
      <w:ind w:firstLine="420" w:firstLineChars="200"/>
    </w:pPr>
  </w:style>
  <w:style w:type="character" w:styleId="9">
    <w:name w:val="page number"/>
    <w:qFormat/>
    <w:uiPriority w:val="0"/>
    <w:rPr>
      <w:rFonts w:cs="Times New Roman"/>
    </w:rPr>
  </w:style>
  <w:style w:type="paragraph" w:customStyle="1" w:styleId="10">
    <w:name w:val="p0"/>
    <w:basedOn w:val="1"/>
    <w:qFormat/>
    <w:uiPriority w:val="99"/>
    <w:pPr>
      <w:jc w:val="both"/>
    </w:pPr>
    <w:rPr>
      <w:rFonts w:ascii="Times New Roman" w:hAnsi="Times New Roman" w:cs="Times New Roman"/>
      <w:sz w:val="21"/>
      <w:szCs w:val="21"/>
    </w:rPr>
  </w:style>
  <w:style w:type="paragraph" w:customStyle="1" w:styleId="11">
    <w:name w:val="一级"/>
    <w:basedOn w:val="12"/>
    <w:qFormat/>
    <w:uiPriority w:val="0"/>
    <w:pPr>
      <w:widowControl w:val="0"/>
      <w:jc w:val="center"/>
      <w:outlineLvl w:val="0"/>
    </w:pPr>
    <w:rPr>
      <w:rFonts w:cs="Times New Roman"/>
      <w:b w:val="0"/>
      <w:sz w:val="32"/>
      <w:szCs w:val="32"/>
    </w:rPr>
  </w:style>
  <w:style w:type="paragraph" w:customStyle="1" w:styleId="12">
    <w:name w:val="样式2"/>
    <w:basedOn w:val="1"/>
    <w:qFormat/>
    <w:uiPriority w:val="0"/>
    <w:pPr>
      <w:widowControl w:val="0"/>
      <w:spacing w:beforeLines="50" w:line="360" w:lineRule="auto"/>
      <w:jc w:val="center"/>
      <w:outlineLvl w:val="0"/>
    </w:pPr>
    <w:rPr>
      <w:rFonts w:ascii="Times New Roman" w:hAnsi="Times New Roman" w:eastAsia="黑体" w:cs="Times New Roman"/>
      <w:b/>
      <w:kern w:val="2"/>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1645</Words>
  <Characters>1868</Characters>
  <Lines>0</Lines>
  <Paragraphs>0</Paragraphs>
  <TotalTime>0</TotalTime>
  <ScaleCrop>false</ScaleCrop>
  <LinksUpToDate>false</LinksUpToDate>
  <CharactersWithSpaces>1906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2026-03-24T23:55:00Z</dcterms:created>
  <dc:creator>换个名字吧</dc:creator>
  <cp:lastModifiedBy>换个名字吧</cp:lastModifiedBy>
  <dcterms:modified xsi:type="dcterms:W3CDTF">2026-03-25T01:29:30Z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9121DF7A67FA4CE6A5B09C683FE725A7_11</vt:lpwstr>
  </property>
  <property fmtid="{D5CDD505-2E9C-101B-9397-08002B2CF9AE}" pid="4" name="KSOTemplateDocerSaveRecord">
    <vt:lpwstr>eyJoZGlkIjoiNjU1ZDBhZGYzNGE2NTBkYzJjZDhiNGY0OWI1NmQ1ZmQiLCJ1c2VySWQiOiI3MzAxOTgwNzUifQ==</vt:lpwstr>
  </property>
</Properties>
</file>